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7098" w14:textId="77777777" w:rsidR="00AE0CBF" w:rsidRPr="009F2DE9" w:rsidRDefault="00AE0CBF" w:rsidP="002D6F0B">
      <w:pPr>
        <w:spacing w:after="120"/>
        <w:jc w:val="center"/>
        <w:rPr>
          <w:rFonts w:ascii="Arial" w:hAnsi="Arial" w:cs="Arial"/>
          <w:b/>
          <w:sz w:val="24"/>
          <w:szCs w:val="24"/>
        </w:rPr>
      </w:pPr>
    </w:p>
    <w:p w14:paraId="6DE38F39" w14:textId="5C3B13B3" w:rsidR="002B7229" w:rsidRPr="009F2DE9" w:rsidRDefault="00CF01D8" w:rsidP="002B722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LLR ICB - </w:t>
      </w:r>
      <w:r w:rsidR="00AB58D6">
        <w:rPr>
          <w:rFonts w:ascii="Arial" w:eastAsia="Times New Roman" w:hAnsi="Arial" w:cs="Arial"/>
          <w:b/>
          <w:sz w:val="24"/>
          <w:szCs w:val="24"/>
          <w:lang w:eastAsia="en-GB"/>
        </w:rPr>
        <w:t xml:space="preserve">NHS </w:t>
      </w:r>
      <w:r w:rsidR="000C088A" w:rsidRPr="00AB58D6">
        <w:rPr>
          <w:rFonts w:ascii="Arial" w:eastAsia="Times New Roman" w:hAnsi="Arial" w:cs="Arial"/>
          <w:b/>
          <w:caps/>
          <w:sz w:val="24"/>
          <w:szCs w:val="24"/>
          <w:lang w:eastAsia="en-GB"/>
        </w:rPr>
        <w:t>W</w:t>
      </w:r>
      <w:r w:rsidR="00AB58D6">
        <w:rPr>
          <w:rFonts w:ascii="Arial" w:eastAsia="Times New Roman" w:hAnsi="Arial" w:cs="Arial"/>
          <w:b/>
          <w:caps/>
          <w:sz w:val="24"/>
          <w:szCs w:val="24"/>
          <w:lang w:eastAsia="en-GB"/>
        </w:rPr>
        <w:t xml:space="preserve">orkforce </w:t>
      </w:r>
      <w:r w:rsidR="002B7229" w:rsidRPr="00AB58D6">
        <w:rPr>
          <w:rFonts w:ascii="Arial" w:eastAsia="Times New Roman" w:hAnsi="Arial" w:cs="Arial"/>
          <w:b/>
          <w:caps/>
          <w:sz w:val="24"/>
          <w:szCs w:val="24"/>
          <w:lang w:eastAsia="en-GB"/>
        </w:rPr>
        <w:t>RACE EQUALITY STANDARD</w:t>
      </w:r>
      <w:r w:rsidR="002B7229" w:rsidRPr="009F2DE9">
        <w:rPr>
          <w:rFonts w:ascii="Arial" w:eastAsia="Times New Roman" w:hAnsi="Arial" w:cs="Arial"/>
          <w:b/>
          <w:sz w:val="24"/>
          <w:szCs w:val="24"/>
          <w:lang w:eastAsia="en-GB"/>
        </w:rPr>
        <w:t xml:space="preserve"> </w:t>
      </w:r>
      <w:r w:rsidR="003A661C" w:rsidRPr="009F2DE9">
        <w:rPr>
          <w:rFonts w:ascii="Arial" w:eastAsia="Times New Roman" w:hAnsi="Arial" w:cs="Arial"/>
          <w:b/>
          <w:sz w:val="24"/>
          <w:szCs w:val="24"/>
          <w:lang w:eastAsia="en-GB"/>
        </w:rPr>
        <w:t>2022/2023</w:t>
      </w:r>
    </w:p>
    <w:p w14:paraId="4DFA79B6" w14:textId="77777777" w:rsidR="002B7229" w:rsidRPr="009F2DE9" w:rsidRDefault="002B7229" w:rsidP="00D54F3C">
      <w:pPr>
        <w:spacing w:after="0" w:line="240" w:lineRule="auto"/>
        <w:rPr>
          <w:rFonts w:ascii="Arial" w:eastAsia="Times New Roman" w:hAnsi="Arial" w:cs="Arial"/>
          <w:sz w:val="24"/>
          <w:szCs w:val="24"/>
          <w:lang w:eastAsia="en-GB"/>
        </w:rPr>
      </w:pPr>
    </w:p>
    <w:p w14:paraId="3E618DC5" w14:textId="3F888380" w:rsidR="00830E13" w:rsidRPr="009F2DE9" w:rsidRDefault="00830E13" w:rsidP="00830E13">
      <w:pPr>
        <w:spacing w:after="0" w:line="240" w:lineRule="auto"/>
        <w:rPr>
          <w:rFonts w:ascii="Arial" w:eastAsia="Times New Roman" w:hAnsi="Arial" w:cs="Arial"/>
          <w:b/>
          <w:sz w:val="24"/>
          <w:szCs w:val="24"/>
          <w:lang w:eastAsia="en-GB"/>
        </w:rPr>
      </w:pPr>
      <w:r w:rsidRPr="009F2DE9">
        <w:rPr>
          <w:rFonts w:ascii="Arial" w:eastAsia="Times New Roman" w:hAnsi="Arial" w:cs="Arial"/>
          <w:b/>
          <w:sz w:val="24"/>
          <w:szCs w:val="24"/>
          <w:lang w:eastAsia="en-GB"/>
        </w:rPr>
        <w:t>Introduction</w:t>
      </w:r>
    </w:p>
    <w:p w14:paraId="0991B4CD" w14:textId="77777777" w:rsidR="00D50B53" w:rsidRPr="009F2DE9" w:rsidRDefault="00D50B53" w:rsidP="00E86EBC">
      <w:pPr>
        <w:spacing w:after="0" w:line="240" w:lineRule="auto"/>
        <w:rPr>
          <w:rFonts w:ascii="Arial" w:eastAsia="Times New Roman" w:hAnsi="Arial" w:cs="Arial"/>
          <w:bCs/>
          <w:sz w:val="24"/>
          <w:szCs w:val="24"/>
          <w:lang w:eastAsia="en-GB"/>
        </w:rPr>
      </w:pPr>
    </w:p>
    <w:p w14:paraId="46F00378" w14:textId="27343C7F" w:rsidR="00D54F3C" w:rsidRPr="009F2DE9" w:rsidRDefault="002B7229">
      <w:pPr>
        <w:pStyle w:val="ListParagraph"/>
        <w:numPr>
          <w:ilvl w:val="0"/>
          <w:numId w:val="2"/>
        </w:numPr>
        <w:spacing w:after="0" w:line="240" w:lineRule="auto"/>
        <w:ind w:left="567" w:hanging="567"/>
        <w:rPr>
          <w:rFonts w:ascii="Arial" w:eastAsia="Calibri" w:hAnsi="Arial" w:cs="Arial"/>
          <w:sz w:val="24"/>
          <w:szCs w:val="24"/>
        </w:rPr>
      </w:pPr>
      <w:r w:rsidRPr="009F2DE9">
        <w:rPr>
          <w:rFonts w:ascii="Arial" w:eastAsia="Calibri" w:hAnsi="Arial" w:cs="Arial"/>
          <w:sz w:val="24"/>
          <w:szCs w:val="24"/>
        </w:rPr>
        <w:t xml:space="preserve">The NHS Workforce Race Equality Standard (WRES) was introduced to the NHS in April 2015 and included </w:t>
      </w:r>
      <w:r w:rsidR="0042740D" w:rsidRPr="009F2DE9">
        <w:rPr>
          <w:rFonts w:ascii="Arial" w:eastAsia="Calibri" w:hAnsi="Arial" w:cs="Arial"/>
          <w:sz w:val="24"/>
          <w:szCs w:val="24"/>
        </w:rPr>
        <w:t>i</w:t>
      </w:r>
      <w:r w:rsidRPr="009F2DE9">
        <w:rPr>
          <w:rFonts w:ascii="Arial" w:eastAsia="Calibri" w:hAnsi="Arial" w:cs="Arial"/>
          <w:sz w:val="24"/>
          <w:szCs w:val="24"/>
        </w:rPr>
        <w:t>n the NHS standard contract</w:t>
      </w:r>
      <w:r w:rsidR="006E1066" w:rsidRPr="009F2DE9">
        <w:rPr>
          <w:rFonts w:ascii="Arial" w:eastAsia="Calibri" w:hAnsi="Arial" w:cs="Arial"/>
          <w:sz w:val="24"/>
          <w:szCs w:val="24"/>
        </w:rPr>
        <w:t xml:space="preserve"> the same year.</w:t>
      </w:r>
      <w:r w:rsidRPr="009F2DE9">
        <w:rPr>
          <w:rFonts w:ascii="Arial" w:eastAsia="Calibri" w:hAnsi="Arial" w:cs="Arial"/>
          <w:sz w:val="24"/>
          <w:szCs w:val="24"/>
        </w:rPr>
        <w:t xml:space="preserve">  WRES baseline data has been provided and published by the NHS </w:t>
      </w:r>
      <w:r w:rsidR="00787E6C" w:rsidRPr="009F2DE9">
        <w:rPr>
          <w:rFonts w:ascii="Arial" w:eastAsia="Calibri" w:hAnsi="Arial" w:cs="Arial"/>
          <w:sz w:val="24"/>
          <w:szCs w:val="24"/>
        </w:rPr>
        <w:t xml:space="preserve">since </w:t>
      </w:r>
      <w:r w:rsidRPr="009F2DE9">
        <w:rPr>
          <w:rFonts w:ascii="Arial" w:eastAsia="Calibri" w:hAnsi="Arial" w:cs="Arial"/>
          <w:sz w:val="24"/>
          <w:szCs w:val="24"/>
        </w:rPr>
        <w:t>1 July 2015.</w:t>
      </w:r>
    </w:p>
    <w:p w14:paraId="2BB1E353" w14:textId="77777777" w:rsidR="00D54F3C" w:rsidRPr="009F2DE9" w:rsidRDefault="00D54F3C" w:rsidP="00E86EBC">
      <w:pPr>
        <w:pStyle w:val="ListParagraph"/>
        <w:spacing w:after="0" w:line="240" w:lineRule="auto"/>
        <w:ind w:left="567"/>
        <w:rPr>
          <w:rFonts w:ascii="Arial" w:eastAsia="Calibri" w:hAnsi="Arial" w:cs="Arial"/>
          <w:sz w:val="24"/>
          <w:szCs w:val="24"/>
        </w:rPr>
      </w:pPr>
    </w:p>
    <w:p w14:paraId="338EE614" w14:textId="6A8ADAF6" w:rsidR="00D54F3C" w:rsidRPr="009F2DE9" w:rsidRDefault="002B7229">
      <w:pPr>
        <w:pStyle w:val="ListParagraph"/>
        <w:numPr>
          <w:ilvl w:val="0"/>
          <w:numId w:val="2"/>
        </w:numPr>
        <w:spacing w:after="0" w:line="240" w:lineRule="auto"/>
        <w:ind w:left="567" w:hanging="567"/>
        <w:rPr>
          <w:rFonts w:ascii="Arial" w:eastAsia="Calibri" w:hAnsi="Arial" w:cs="Arial"/>
          <w:sz w:val="24"/>
          <w:szCs w:val="24"/>
        </w:rPr>
      </w:pPr>
      <w:r w:rsidRPr="009F2DE9">
        <w:rPr>
          <w:rFonts w:ascii="Arial" w:eastAsia="Calibri" w:hAnsi="Arial" w:cs="Arial"/>
          <w:sz w:val="24"/>
          <w:szCs w:val="24"/>
        </w:rPr>
        <w:t xml:space="preserve">The main purpose of the WRES is to help NHS organisations to review their data against the nine WRES indicators and </w:t>
      </w:r>
      <w:r w:rsidR="00B37D25" w:rsidRPr="009F2DE9">
        <w:rPr>
          <w:rFonts w:ascii="Arial" w:hAnsi="Arial" w:cs="Arial"/>
          <w:sz w:val="24"/>
          <w:szCs w:val="24"/>
        </w:rPr>
        <w:t xml:space="preserve">produce an action plan to close the gaps in workplace experience between </w:t>
      </w:r>
      <w:r w:rsidR="006C4661" w:rsidRPr="009F2DE9">
        <w:rPr>
          <w:rFonts w:ascii="Arial" w:hAnsi="Arial" w:cs="Arial"/>
          <w:sz w:val="24"/>
          <w:szCs w:val="24"/>
        </w:rPr>
        <w:t>W</w:t>
      </w:r>
      <w:r w:rsidR="00B37D25" w:rsidRPr="009F2DE9">
        <w:rPr>
          <w:rFonts w:ascii="Arial" w:hAnsi="Arial" w:cs="Arial"/>
          <w:sz w:val="24"/>
          <w:szCs w:val="24"/>
        </w:rPr>
        <w:t>hite</w:t>
      </w:r>
      <w:r w:rsidR="006C4661" w:rsidRPr="009F2DE9">
        <w:rPr>
          <w:rFonts w:ascii="Arial" w:hAnsi="Arial" w:cs="Arial"/>
          <w:sz w:val="24"/>
          <w:szCs w:val="24"/>
        </w:rPr>
        <w:t>,</w:t>
      </w:r>
      <w:r w:rsidR="00B37D25" w:rsidRPr="009F2DE9">
        <w:rPr>
          <w:rFonts w:ascii="Arial" w:hAnsi="Arial" w:cs="Arial"/>
          <w:sz w:val="24"/>
          <w:szCs w:val="24"/>
        </w:rPr>
        <w:t xml:space="preserve"> and </w:t>
      </w:r>
      <w:r w:rsidRPr="009F2DE9">
        <w:rPr>
          <w:rFonts w:ascii="Arial" w:eastAsia="Calibri" w:hAnsi="Arial" w:cs="Arial"/>
          <w:sz w:val="24"/>
          <w:szCs w:val="24"/>
        </w:rPr>
        <w:t>Black, and Minority</w:t>
      </w:r>
      <w:r w:rsidR="009E0B3C">
        <w:rPr>
          <w:rFonts w:ascii="Arial" w:eastAsia="Calibri" w:hAnsi="Arial" w:cs="Arial"/>
          <w:sz w:val="24"/>
          <w:szCs w:val="24"/>
        </w:rPr>
        <w:t xml:space="preserve"> Ethnic</w:t>
      </w:r>
      <w:r w:rsidRPr="009F2DE9">
        <w:rPr>
          <w:rFonts w:ascii="Arial" w:eastAsia="Calibri" w:hAnsi="Arial" w:cs="Arial"/>
          <w:sz w:val="24"/>
          <w:szCs w:val="24"/>
        </w:rPr>
        <w:t xml:space="preserve"> (</w:t>
      </w:r>
      <w:r w:rsidR="00147FC3">
        <w:rPr>
          <w:rFonts w:ascii="Arial" w:eastAsia="Calibri" w:hAnsi="Arial" w:cs="Arial"/>
          <w:sz w:val="24"/>
          <w:szCs w:val="24"/>
        </w:rPr>
        <w:t>BME</w:t>
      </w:r>
      <w:r w:rsidRPr="009F2DE9">
        <w:rPr>
          <w:rFonts w:ascii="Arial" w:eastAsia="Calibri" w:hAnsi="Arial" w:cs="Arial"/>
          <w:sz w:val="24"/>
          <w:szCs w:val="24"/>
        </w:rPr>
        <w:t>)</w:t>
      </w:r>
      <w:r w:rsidR="00D50B53" w:rsidRPr="009F2DE9">
        <w:rPr>
          <w:rFonts w:ascii="Arial" w:eastAsia="Calibri" w:hAnsi="Arial" w:cs="Arial"/>
          <w:sz w:val="24"/>
          <w:szCs w:val="24"/>
        </w:rPr>
        <w:t xml:space="preserve"> staff. </w:t>
      </w:r>
      <w:r w:rsidRPr="009F2DE9">
        <w:rPr>
          <w:rFonts w:ascii="Arial" w:eastAsia="Calibri" w:hAnsi="Arial" w:cs="Arial"/>
          <w:sz w:val="24"/>
          <w:szCs w:val="24"/>
        </w:rPr>
        <w:t xml:space="preserve"> The WRES also places an obligation on NHS organisations to improve </w:t>
      </w:r>
      <w:r w:rsidR="00147FC3">
        <w:rPr>
          <w:rFonts w:ascii="Arial" w:eastAsia="Calibri" w:hAnsi="Arial" w:cs="Arial"/>
          <w:sz w:val="24"/>
          <w:szCs w:val="24"/>
        </w:rPr>
        <w:t>BME</w:t>
      </w:r>
      <w:r w:rsidRPr="009F2DE9">
        <w:rPr>
          <w:rFonts w:ascii="Arial" w:eastAsia="Calibri" w:hAnsi="Arial" w:cs="Arial"/>
          <w:sz w:val="24"/>
          <w:szCs w:val="24"/>
        </w:rPr>
        <w:t xml:space="preserve"> representation at Board level.</w:t>
      </w:r>
    </w:p>
    <w:p w14:paraId="0C1D55A6" w14:textId="77777777" w:rsidR="00D54F3C" w:rsidRPr="009F2DE9" w:rsidRDefault="00D54F3C" w:rsidP="00E86EBC">
      <w:pPr>
        <w:pStyle w:val="ListParagraph"/>
        <w:spacing w:after="0" w:line="240" w:lineRule="auto"/>
        <w:rPr>
          <w:rFonts w:ascii="Arial" w:eastAsia="Calibri" w:hAnsi="Arial" w:cs="Arial"/>
          <w:sz w:val="24"/>
          <w:szCs w:val="24"/>
        </w:rPr>
      </w:pPr>
    </w:p>
    <w:p w14:paraId="42B59DD9" w14:textId="6A87F5A5" w:rsidR="00D54F3C" w:rsidRPr="0076459F" w:rsidRDefault="000D3247">
      <w:pPr>
        <w:pStyle w:val="ListParagraph"/>
        <w:numPr>
          <w:ilvl w:val="0"/>
          <w:numId w:val="2"/>
        </w:numPr>
        <w:spacing w:after="0" w:line="240" w:lineRule="auto"/>
        <w:ind w:left="567" w:hanging="567"/>
        <w:rPr>
          <w:rFonts w:ascii="Arial" w:eastAsia="Calibri" w:hAnsi="Arial" w:cs="Arial"/>
          <w:sz w:val="24"/>
          <w:szCs w:val="24"/>
        </w:rPr>
      </w:pPr>
      <w:r w:rsidRPr="009F2DE9">
        <w:rPr>
          <w:rFonts w:ascii="Arial" w:eastAsia="Calibri" w:hAnsi="Arial" w:cs="Arial"/>
          <w:sz w:val="24"/>
          <w:szCs w:val="24"/>
        </w:rPr>
        <w:t xml:space="preserve">The requirements </w:t>
      </w:r>
      <w:r w:rsidR="00DA3DB9" w:rsidRPr="009F2DE9">
        <w:rPr>
          <w:rFonts w:ascii="Arial" w:eastAsia="Calibri" w:hAnsi="Arial" w:cs="Arial"/>
          <w:sz w:val="24"/>
          <w:szCs w:val="24"/>
        </w:rPr>
        <w:t>of the</w:t>
      </w:r>
      <w:r w:rsidRPr="009F2DE9">
        <w:rPr>
          <w:rFonts w:ascii="Arial" w:eastAsia="Calibri" w:hAnsi="Arial" w:cs="Arial"/>
          <w:sz w:val="24"/>
          <w:szCs w:val="24"/>
        </w:rPr>
        <w:t xml:space="preserve"> WRES </w:t>
      </w:r>
      <w:r w:rsidR="008334A4" w:rsidRPr="009F2DE9">
        <w:rPr>
          <w:rFonts w:ascii="Arial" w:eastAsia="Calibri" w:hAnsi="Arial" w:cs="Arial"/>
          <w:sz w:val="24"/>
          <w:szCs w:val="24"/>
        </w:rPr>
        <w:t xml:space="preserve">are </w:t>
      </w:r>
      <w:r w:rsidRPr="009F2DE9">
        <w:rPr>
          <w:rFonts w:ascii="Arial" w:eastAsia="Calibri" w:hAnsi="Arial" w:cs="Arial"/>
          <w:sz w:val="24"/>
          <w:szCs w:val="24"/>
        </w:rPr>
        <w:t xml:space="preserve">highlighted in the </w:t>
      </w:r>
      <w:r w:rsidR="00154249" w:rsidRPr="009F2DE9">
        <w:rPr>
          <w:rFonts w:ascii="Arial" w:eastAsia="Calibri" w:hAnsi="Arial" w:cs="Arial"/>
          <w:sz w:val="24"/>
          <w:szCs w:val="24"/>
        </w:rPr>
        <w:t>‘</w:t>
      </w:r>
      <w:r w:rsidR="00787E6C" w:rsidRPr="00F26EBC">
        <w:rPr>
          <w:rFonts w:ascii="Arial" w:eastAsia="Calibri" w:hAnsi="Arial" w:cs="Arial"/>
          <w:sz w:val="24"/>
          <w:szCs w:val="24"/>
        </w:rPr>
        <w:t xml:space="preserve">We are the NHS: People Plan </w:t>
      </w:r>
      <w:r w:rsidRPr="00F26EBC">
        <w:rPr>
          <w:rFonts w:ascii="Arial" w:eastAsia="Calibri" w:hAnsi="Arial" w:cs="Arial"/>
          <w:sz w:val="24"/>
          <w:szCs w:val="24"/>
        </w:rPr>
        <w:t>2020</w:t>
      </w:r>
      <w:r w:rsidR="00787E6C" w:rsidRPr="00F26EBC">
        <w:rPr>
          <w:rFonts w:ascii="Arial" w:eastAsia="Calibri" w:hAnsi="Arial" w:cs="Arial"/>
          <w:sz w:val="24"/>
          <w:szCs w:val="24"/>
        </w:rPr>
        <w:t>/21 – action for us all</w:t>
      </w:r>
      <w:r w:rsidR="00154249" w:rsidRPr="00F26EBC">
        <w:rPr>
          <w:rFonts w:ascii="Arial" w:eastAsia="Calibri" w:hAnsi="Arial" w:cs="Arial"/>
          <w:sz w:val="24"/>
          <w:szCs w:val="24"/>
        </w:rPr>
        <w:t>’</w:t>
      </w:r>
      <w:r w:rsidR="00787E6C" w:rsidRPr="00F26EBC">
        <w:rPr>
          <w:rFonts w:ascii="Arial" w:eastAsia="Calibri" w:hAnsi="Arial" w:cs="Arial"/>
          <w:sz w:val="24"/>
          <w:szCs w:val="24"/>
        </w:rPr>
        <w:t xml:space="preserve"> </w:t>
      </w:r>
      <w:r w:rsidR="002E0435" w:rsidRPr="00F26EBC">
        <w:rPr>
          <w:rFonts w:ascii="Arial" w:eastAsia="Calibri" w:hAnsi="Arial" w:cs="Arial"/>
          <w:sz w:val="24"/>
          <w:szCs w:val="24"/>
        </w:rPr>
        <w:t xml:space="preserve">which </w:t>
      </w:r>
      <w:r w:rsidRPr="00F26EBC">
        <w:rPr>
          <w:rFonts w:ascii="Arial" w:eastAsia="Calibri" w:hAnsi="Arial" w:cs="Arial"/>
          <w:sz w:val="24"/>
          <w:szCs w:val="24"/>
        </w:rPr>
        <w:t xml:space="preserve">focusses on the </w:t>
      </w:r>
      <w:r w:rsidR="00606665" w:rsidRPr="00F26EBC">
        <w:rPr>
          <w:rFonts w:ascii="Arial" w:eastAsia="Calibri" w:hAnsi="Arial" w:cs="Arial"/>
          <w:sz w:val="24"/>
          <w:szCs w:val="24"/>
        </w:rPr>
        <w:t xml:space="preserve">need </w:t>
      </w:r>
      <w:r w:rsidRPr="00F26EBC">
        <w:rPr>
          <w:rFonts w:ascii="Arial" w:eastAsia="Calibri" w:hAnsi="Arial" w:cs="Arial"/>
          <w:sz w:val="24"/>
          <w:szCs w:val="24"/>
        </w:rPr>
        <w:t>to have robust</w:t>
      </w:r>
      <w:r w:rsidRPr="009F2DE9">
        <w:rPr>
          <w:rFonts w:ascii="Arial" w:eastAsia="Calibri" w:hAnsi="Arial" w:cs="Arial"/>
          <w:sz w:val="24"/>
          <w:szCs w:val="24"/>
        </w:rPr>
        <w:t xml:space="preserve"> </w:t>
      </w:r>
      <w:r w:rsidR="00787E6C" w:rsidRPr="009F2DE9">
        <w:rPr>
          <w:rFonts w:ascii="Arial" w:eastAsia="Calibri" w:hAnsi="Arial" w:cs="Arial"/>
          <w:sz w:val="24"/>
          <w:szCs w:val="24"/>
        </w:rPr>
        <w:t xml:space="preserve">action </w:t>
      </w:r>
      <w:r w:rsidRPr="009F2DE9">
        <w:rPr>
          <w:rFonts w:ascii="Arial" w:eastAsia="Calibri" w:hAnsi="Arial" w:cs="Arial"/>
          <w:sz w:val="24"/>
          <w:szCs w:val="24"/>
        </w:rPr>
        <w:t>plans in place to address equality and inclusion in the workplace.</w:t>
      </w:r>
      <w:r w:rsidR="008334A4" w:rsidRPr="009F2DE9">
        <w:rPr>
          <w:rFonts w:ascii="Arial" w:eastAsia="Calibri" w:hAnsi="Arial" w:cs="Arial"/>
          <w:sz w:val="24"/>
          <w:szCs w:val="24"/>
        </w:rPr>
        <w:t xml:space="preserve">  </w:t>
      </w:r>
      <w:r w:rsidR="00DE7F53" w:rsidRPr="009F2DE9">
        <w:rPr>
          <w:rFonts w:ascii="Arial" w:hAnsi="Arial" w:cs="Arial"/>
          <w:color w:val="000000"/>
          <w:sz w:val="24"/>
          <w:szCs w:val="24"/>
        </w:rPr>
        <w:t xml:space="preserve">The </w:t>
      </w:r>
      <w:r w:rsidR="005C181A" w:rsidRPr="009F2DE9">
        <w:rPr>
          <w:rFonts w:ascii="Arial" w:hAnsi="Arial" w:cs="Arial"/>
          <w:color w:val="000000"/>
          <w:sz w:val="24"/>
          <w:szCs w:val="24"/>
        </w:rPr>
        <w:t xml:space="preserve">ICB </w:t>
      </w:r>
      <w:r w:rsidR="00B37D25" w:rsidRPr="009F2DE9">
        <w:rPr>
          <w:rFonts w:ascii="Arial" w:hAnsi="Arial" w:cs="Arial"/>
          <w:color w:val="000000"/>
          <w:sz w:val="24"/>
          <w:szCs w:val="24"/>
        </w:rPr>
        <w:t xml:space="preserve">must </w:t>
      </w:r>
      <w:r w:rsidR="00DE7F53" w:rsidRPr="009F2DE9">
        <w:rPr>
          <w:rFonts w:ascii="Arial" w:hAnsi="Arial" w:cs="Arial"/>
          <w:color w:val="000000"/>
          <w:sz w:val="24"/>
          <w:szCs w:val="24"/>
        </w:rPr>
        <w:t xml:space="preserve">also </w:t>
      </w:r>
      <w:r w:rsidR="00B37D25" w:rsidRPr="009F2DE9">
        <w:rPr>
          <w:rFonts w:ascii="Arial" w:hAnsi="Arial" w:cs="Arial"/>
          <w:color w:val="000000"/>
          <w:sz w:val="24"/>
          <w:szCs w:val="24"/>
        </w:rPr>
        <w:t xml:space="preserve">publish progress against the </w:t>
      </w:r>
      <w:r w:rsidR="002D6F0B" w:rsidRPr="009F2DE9">
        <w:rPr>
          <w:rFonts w:ascii="Arial" w:hAnsi="Arial" w:cs="Arial"/>
          <w:color w:val="000000"/>
          <w:sz w:val="24"/>
          <w:szCs w:val="24"/>
        </w:rPr>
        <w:t xml:space="preserve">goals contained </w:t>
      </w:r>
      <w:r w:rsidR="002D6F0B" w:rsidRPr="00F26EBC">
        <w:rPr>
          <w:rFonts w:ascii="Arial" w:hAnsi="Arial" w:cs="Arial"/>
          <w:color w:val="000000"/>
          <w:sz w:val="24"/>
          <w:szCs w:val="24"/>
        </w:rPr>
        <w:t xml:space="preserve">in </w:t>
      </w:r>
      <w:r w:rsidR="00950343" w:rsidRPr="00F26EBC">
        <w:rPr>
          <w:rFonts w:ascii="Arial" w:hAnsi="Arial" w:cs="Arial"/>
          <w:color w:val="000000"/>
          <w:sz w:val="24"/>
          <w:szCs w:val="24"/>
        </w:rPr>
        <w:t>NHS</w:t>
      </w:r>
      <w:r w:rsidR="005C181A" w:rsidRPr="00F26EBC">
        <w:rPr>
          <w:rFonts w:ascii="Arial" w:hAnsi="Arial" w:cs="Arial"/>
          <w:color w:val="000000"/>
          <w:sz w:val="24"/>
          <w:szCs w:val="24"/>
        </w:rPr>
        <w:t>E</w:t>
      </w:r>
      <w:r w:rsidR="00950343" w:rsidRPr="00F26EBC">
        <w:rPr>
          <w:rFonts w:ascii="Arial" w:hAnsi="Arial" w:cs="Arial"/>
          <w:color w:val="000000"/>
          <w:sz w:val="24"/>
          <w:szCs w:val="24"/>
        </w:rPr>
        <w:t xml:space="preserve"> </w:t>
      </w:r>
      <w:r w:rsidR="00F26EBC">
        <w:rPr>
          <w:rFonts w:ascii="Arial" w:hAnsi="Arial" w:cs="Arial"/>
          <w:color w:val="000000"/>
          <w:sz w:val="24"/>
          <w:szCs w:val="24"/>
        </w:rPr>
        <w:t>‘</w:t>
      </w:r>
      <w:r w:rsidR="002D6F0B" w:rsidRPr="00F26EBC">
        <w:rPr>
          <w:rFonts w:ascii="Arial" w:hAnsi="Arial" w:cs="Arial"/>
          <w:color w:val="000000"/>
          <w:sz w:val="24"/>
          <w:szCs w:val="24"/>
        </w:rPr>
        <w:t xml:space="preserve">A </w:t>
      </w:r>
      <w:r w:rsidR="00B37D25" w:rsidRPr="00F26EBC">
        <w:rPr>
          <w:rFonts w:ascii="Arial" w:hAnsi="Arial" w:cs="Arial"/>
          <w:color w:val="000000"/>
          <w:sz w:val="24"/>
          <w:szCs w:val="24"/>
        </w:rPr>
        <w:t>Model</w:t>
      </w:r>
      <w:r w:rsidR="00D50B53" w:rsidRPr="00F26EBC">
        <w:rPr>
          <w:rFonts w:ascii="Arial" w:hAnsi="Arial" w:cs="Arial"/>
          <w:color w:val="000000"/>
          <w:sz w:val="24"/>
          <w:szCs w:val="24"/>
        </w:rPr>
        <w:t xml:space="preserve"> </w:t>
      </w:r>
      <w:r w:rsidR="00B37D25" w:rsidRPr="00F26EBC">
        <w:rPr>
          <w:rFonts w:ascii="Arial" w:hAnsi="Arial" w:cs="Arial"/>
          <w:color w:val="000000"/>
          <w:sz w:val="24"/>
          <w:szCs w:val="24"/>
        </w:rPr>
        <w:t>Employer</w:t>
      </w:r>
      <w:r w:rsidR="00F26EBC">
        <w:rPr>
          <w:rFonts w:ascii="Arial" w:hAnsi="Arial" w:cs="Arial"/>
          <w:color w:val="000000"/>
          <w:sz w:val="24"/>
          <w:szCs w:val="24"/>
        </w:rPr>
        <w:t>’</w:t>
      </w:r>
      <w:r w:rsidR="00B37D25" w:rsidRPr="00F26EBC">
        <w:rPr>
          <w:rFonts w:ascii="Arial" w:hAnsi="Arial" w:cs="Arial"/>
          <w:color w:val="000000"/>
          <w:sz w:val="24"/>
          <w:szCs w:val="24"/>
        </w:rPr>
        <w:t xml:space="preserve"> </w:t>
      </w:r>
      <w:r w:rsidR="005C181A" w:rsidRPr="00F26EBC">
        <w:rPr>
          <w:rFonts w:ascii="Arial" w:hAnsi="Arial" w:cs="Arial"/>
          <w:color w:val="000000"/>
          <w:sz w:val="24"/>
          <w:szCs w:val="24"/>
        </w:rPr>
        <w:t>to ensure that at every level the workforce is representative of the</w:t>
      </w:r>
      <w:r w:rsidR="005C181A" w:rsidRPr="009F2DE9">
        <w:rPr>
          <w:rFonts w:ascii="Arial" w:hAnsi="Arial" w:cs="Arial"/>
          <w:color w:val="000000"/>
          <w:sz w:val="24"/>
          <w:szCs w:val="24"/>
        </w:rPr>
        <w:t xml:space="preserve"> overall </w:t>
      </w:r>
      <w:r w:rsidR="00147FC3">
        <w:rPr>
          <w:rFonts w:ascii="Arial" w:hAnsi="Arial" w:cs="Arial"/>
          <w:color w:val="000000"/>
          <w:sz w:val="24"/>
          <w:szCs w:val="24"/>
        </w:rPr>
        <w:t>BME</w:t>
      </w:r>
      <w:r w:rsidR="005C181A" w:rsidRPr="009F2DE9">
        <w:rPr>
          <w:rFonts w:ascii="Arial" w:hAnsi="Arial" w:cs="Arial"/>
          <w:color w:val="000000"/>
          <w:sz w:val="24"/>
          <w:szCs w:val="24"/>
        </w:rPr>
        <w:t xml:space="preserve"> workforce. </w:t>
      </w:r>
    </w:p>
    <w:p w14:paraId="577EFB86" w14:textId="77777777" w:rsidR="0076459F" w:rsidRPr="0076459F" w:rsidRDefault="0076459F" w:rsidP="0076459F">
      <w:pPr>
        <w:pStyle w:val="ListParagraph"/>
        <w:spacing w:after="0" w:line="240" w:lineRule="auto"/>
        <w:ind w:left="567"/>
        <w:rPr>
          <w:rFonts w:ascii="Arial" w:eastAsia="Calibri" w:hAnsi="Arial" w:cs="Arial"/>
          <w:sz w:val="24"/>
          <w:szCs w:val="24"/>
        </w:rPr>
      </w:pPr>
    </w:p>
    <w:p w14:paraId="2C4CFDA0" w14:textId="77777777" w:rsidR="0076459F" w:rsidRPr="009F2DE9" w:rsidRDefault="0076459F" w:rsidP="0076459F">
      <w:pPr>
        <w:pStyle w:val="ListParagraph"/>
        <w:numPr>
          <w:ilvl w:val="0"/>
          <w:numId w:val="2"/>
        </w:numPr>
        <w:spacing w:after="0" w:line="240" w:lineRule="auto"/>
        <w:rPr>
          <w:rFonts w:ascii="Arial" w:hAnsi="Arial" w:cs="Arial"/>
          <w:i/>
          <w:iCs/>
          <w:sz w:val="24"/>
          <w:szCs w:val="24"/>
        </w:rPr>
      </w:pPr>
      <w:r w:rsidRPr="009F2DE9">
        <w:rPr>
          <w:rFonts w:ascii="Arial" w:hAnsi="Arial" w:cs="Arial"/>
          <w:sz w:val="24"/>
          <w:szCs w:val="24"/>
        </w:rPr>
        <w:t>At present, Integrated Care Boards (ICBs) are not required to undertake the WRES assessment. Recent correspondence from the NHS WDES team (April 2023) noted ‘</w:t>
      </w:r>
      <w:r w:rsidRPr="00E86EBC">
        <w:rPr>
          <w:rFonts w:ascii="Arial" w:hAnsi="Arial" w:cs="Arial"/>
          <w:sz w:val="24"/>
          <w:szCs w:val="24"/>
        </w:rPr>
        <w:t xml:space="preserve">At the moment, there is no mandate for ICBs to submit WDES and WRES data. Any information we receive will therefore be voluntary, but we will support, as we can, any organisation that wants to use the WDES and WRES methodology. What we are not planning to do </w:t>
      </w:r>
      <w:proofErr w:type="gramStart"/>
      <w:r w:rsidRPr="00E86EBC">
        <w:rPr>
          <w:rFonts w:ascii="Arial" w:hAnsi="Arial" w:cs="Arial"/>
          <w:sz w:val="24"/>
          <w:szCs w:val="24"/>
        </w:rPr>
        <w:t>at the moment</w:t>
      </w:r>
      <w:proofErr w:type="gramEnd"/>
      <w:r w:rsidRPr="00E86EBC">
        <w:rPr>
          <w:rFonts w:ascii="Arial" w:hAnsi="Arial" w:cs="Arial"/>
          <w:sz w:val="24"/>
          <w:szCs w:val="24"/>
        </w:rPr>
        <w:t xml:space="preserve"> is collect data from ICBs, nor publish an overall report on it’.</w:t>
      </w:r>
      <w:r w:rsidRPr="009F2DE9">
        <w:rPr>
          <w:rFonts w:ascii="Arial" w:hAnsi="Arial" w:cs="Arial"/>
          <w:i/>
          <w:iCs/>
          <w:sz w:val="24"/>
          <w:szCs w:val="24"/>
        </w:rPr>
        <w:t xml:space="preserve"> </w:t>
      </w:r>
    </w:p>
    <w:p w14:paraId="54F62966" w14:textId="77777777" w:rsidR="0076459F" w:rsidRPr="0076459F" w:rsidRDefault="0076459F" w:rsidP="0076459F">
      <w:pPr>
        <w:spacing w:after="0" w:line="240" w:lineRule="auto"/>
        <w:rPr>
          <w:rFonts w:ascii="Arial" w:eastAsia="Calibri" w:hAnsi="Arial" w:cs="Arial"/>
          <w:sz w:val="24"/>
          <w:szCs w:val="24"/>
        </w:rPr>
      </w:pPr>
    </w:p>
    <w:p w14:paraId="7CE1C0C2" w14:textId="77777777" w:rsidR="00B82771" w:rsidRPr="00B82771" w:rsidRDefault="00B82771" w:rsidP="00B82771">
      <w:pPr>
        <w:pStyle w:val="ListParagraph"/>
        <w:rPr>
          <w:rFonts w:ascii="Arial" w:eastAsia="Calibri" w:hAnsi="Arial" w:cs="Arial"/>
          <w:sz w:val="24"/>
          <w:szCs w:val="24"/>
        </w:rPr>
      </w:pPr>
    </w:p>
    <w:p w14:paraId="644D93B2" w14:textId="3DFB6653" w:rsidR="0076459F" w:rsidRPr="00CF01D8" w:rsidRDefault="0076459F" w:rsidP="008B7A20">
      <w:pPr>
        <w:pStyle w:val="ListParagraph"/>
        <w:numPr>
          <w:ilvl w:val="0"/>
          <w:numId w:val="2"/>
        </w:numPr>
        <w:spacing w:after="0" w:line="240" w:lineRule="auto"/>
        <w:rPr>
          <w:rFonts w:ascii="Arial" w:hAnsi="Arial" w:cs="Arial"/>
          <w:sz w:val="24"/>
          <w:szCs w:val="24"/>
        </w:rPr>
      </w:pPr>
      <w:r w:rsidRPr="00CF01D8">
        <w:rPr>
          <w:rFonts w:ascii="Arial" w:hAnsi="Arial" w:cs="Arial"/>
          <w:sz w:val="24"/>
          <w:szCs w:val="24"/>
        </w:rPr>
        <w:t xml:space="preserve">If the WRES had </w:t>
      </w:r>
      <w:r w:rsidR="00CF01D8" w:rsidRPr="00CF01D8">
        <w:rPr>
          <w:rFonts w:ascii="Arial" w:hAnsi="Arial" w:cs="Arial"/>
          <w:sz w:val="24"/>
          <w:szCs w:val="24"/>
        </w:rPr>
        <w:t xml:space="preserve">been mandated, </w:t>
      </w:r>
      <w:r w:rsidRPr="00CF01D8">
        <w:rPr>
          <w:rFonts w:ascii="Arial" w:hAnsi="Arial" w:cs="Arial"/>
          <w:sz w:val="24"/>
          <w:szCs w:val="24"/>
        </w:rPr>
        <w:t>the latest technical guidance also states that ‘formally, ICBs are not required by the NHS standard contract to fully apply the WRES to themselves as some ICB workforces may be too small for the WRES indicators to either work properly or to comply with the Data Protection Act.’ However, the guidance goes on to say ‘ICBs should commit to the principles of the WRES and apply as much of it as possible to their own workforce. In this way, ICBs can demonstrate good leadership, identify concerns within their workforces, and set an example for their providers’.</w:t>
      </w:r>
      <w:r w:rsidR="00CF01D8" w:rsidRPr="00CF01D8">
        <w:rPr>
          <w:rFonts w:ascii="Arial" w:hAnsi="Arial" w:cs="Arial"/>
          <w:sz w:val="24"/>
          <w:szCs w:val="24"/>
        </w:rPr>
        <w:t xml:space="preserve"> </w:t>
      </w:r>
      <w:bookmarkStart w:id="0" w:name="_Hlk150929553"/>
      <w:r w:rsidR="00CF01D8" w:rsidRPr="00CF01D8">
        <w:rPr>
          <w:rFonts w:ascii="Arial" w:hAnsi="Arial" w:cs="Arial"/>
          <w:sz w:val="24"/>
          <w:szCs w:val="24"/>
        </w:rPr>
        <w:t>The report will ensure that the ICB can make informed decisions whilst protecting the anonymity of staff.</w:t>
      </w:r>
    </w:p>
    <w:bookmarkEnd w:id="0"/>
    <w:p w14:paraId="2442DFAA" w14:textId="77777777" w:rsidR="00A575F0" w:rsidRPr="009F2DE9" w:rsidRDefault="00A575F0" w:rsidP="00E86EBC">
      <w:pPr>
        <w:pStyle w:val="ListParagraph"/>
        <w:spacing w:after="0" w:line="240" w:lineRule="auto"/>
        <w:rPr>
          <w:rFonts w:ascii="Arial" w:hAnsi="Arial" w:cs="Arial"/>
          <w:i/>
          <w:iCs/>
          <w:sz w:val="24"/>
          <w:szCs w:val="24"/>
        </w:rPr>
      </w:pPr>
    </w:p>
    <w:p w14:paraId="55E4D489" w14:textId="77777777" w:rsidR="00D12C3D" w:rsidRPr="009F2DE9" w:rsidRDefault="00D12C3D" w:rsidP="00E86EBC">
      <w:pPr>
        <w:pStyle w:val="ListParagraph"/>
        <w:spacing w:after="0" w:line="240" w:lineRule="auto"/>
        <w:rPr>
          <w:rFonts w:ascii="Arial" w:hAnsi="Arial" w:cs="Arial"/>
          <w:sz w:val="24"/>
          <w:szCs w:val="24"/>
        </w:rPr>
      </w:pPr>
    </w:p>
    <w:p w14:paraId="37CEFA8E" w14:textId="38CC4E9B" w:rsidR="0076459F" w:rsidRPr="00CF01D8" w:rsidRDefault="00E97028" w:rsidP="00894A3E">
      <w:pPr>
        <w:pStyle w:val="ListParagraph"/>
        <w:numPr>
          <w:ilvl w:val="0"/>
          <w:numId w:val="2"/>
        </w:numPr>
        <w:spacing w:after="0" w:line="240" w:lineRule="auto"/>
        <w:rPr>
          <w:rFonts w:ascii="Arial" w:hAnsi="Arial" w:cs="Arial"/>
          <w:sz w:val="24"/>
          <w:szCs w:val="24"/>
        </w:rPr>
      </w:pPr>
      <w:r w:rsidRPr="00CF01D8">
        <w:rPr>
          <w:rFonts w:ascii="Arial" w:hAnsi="Arial" w:cs="Arial"/>
          <w:sz w:val="24"/>
          <w:szCs w:val="24"/>
        </w:rPr>
        <w:t>A</w:t>
      </w:r>
      <w:r w:rsidR="00D12C3D" w:rsidRPr="00CF01D8">
        <w:rPr>
          <w:rFonts w:ascii="Arial" w:hAnsi="Arial" w:cs="Arial"/>
          <w:sz w:val="24"/>
          <w:szCs w:val="24"/>
        </w:rPr>
        <w:t>s part of our commitment to workforce equality and inclusion it is important to commit to this standard as part of our continuous EDI improvement journey. The ICB plays an active role in the development of Equality and Inclusion across the LLR system and need</w:t>
      </w:r>
      <w:r w:rsidR="002272A5">
        <w:rPr>
          <w:rFonts w:ascii="Arial" w:hAnsi="Arial" w:cs="Arial"/>
          <w:sz w:val="24"/>
          <w:szCs w:val="24"/>
        </w:rPr>
        <w:t>s</w:t>
      </w:r>
      <w:r w:rsidR="00D12C3D" w:rsidRPr="00CF01D8">
        <w:rPr>
          <w:rFonts w:ascii="Arial" w:hAnsi="Arial" w:cs="Arial"/>
          <w:sz w:val="24"/>
          <w:szCs w:val="24"/>
        </w:rPr>
        <w:t xml:space="preserve"> to be </w:t>
      </w:r>
      <w:r w:rsidR="004D1D39" w:rsidRPr="00CF01D8">
        <w:rPr>
          <w:rFonts w:ascii="Arial" w:hAnsi="Arial" w:cs="Arial"/>
          <w:sz w:val="24"/>
          <w:szCs w:val="24"/>
        </w:rPr>
        <w:t xml:space="preserve">an </w:t>
      </w:r>
      <w:r w:rsidR="00D12C3D" w:rsidRPr="00CF01D8">
        <w:rPr>
          <w:rFonts w:ascii="Arial" w:hAnsi="Arial" w:cs="Arial"/>
          <w:sz w:val="24"/>
          <w:szCs w:val="24"/>
        </w:rPr>
        <w:t xml:space="preserve">active in progressing and collaborating with partners on the standard. </w:t>
      </w:r>
      <w:bookmarkStart w:id="1" w:name="_Hlk150929430"/>
      <w:bookmarkStart w:id="2" w:name="_Hlk135733072"/>
      <w:r w:rsidR="00B82771" w:rsidRPr="00CF01D8">
        <w:rPr>
          <w:rFonts w:ascii="Arial" w:hAnsi="Arial" w:cs="Arial"/>
          <w:sz w:val="24"/>
          <w:szCs w:val="24"/>
        </w:rPr>
        <w:t>This is particularly important following the launch of the Workforce EDI NHSE Improvement Plan in June</w:t>
      </w:r>
      <w:r w:rsidR="00D63D82" w:rsidRPr="00CF01D8">
        <w:rPr>
          <w:rFonts w:ascii="Arial" w:hAnsi="Arial" w:cs="Arial"/>
          <w:sz w:val="24"/>
          <w:szCs w:val="24"/>
        </w:rPr>
        <w:t xml:space="preserve"> (noted below)</w:t>
      </w:r>
      <w:r w:rsidR="00B82771" w:rsidRPr="00CF01D8">
        <w:rPr>
          <w:rFonts w:ascii="Arial" w:hAnsi="Arial" w:cs="Arial"/>
          <w:sz w:val="24"/>
          <w:szCs w:val="24"/>
        </w:rPr>
        <w:t xml:space="preserve">. </w:t>
      </w:r>
      <w:bookmarkEnd w:id="1"/>
    </w:p>
    <w:p w14:paraId="2FB24A1F" w14:textId="77777777" w:rsidR="0076459F" w:rsidRPr="0076459F" w:rsidRDefault="0076459F" w:rsidP="0076459F">
      <w:pPr>
        <w:spacing w:after="0" w:line="240" w:lineRule="auto"/>
        <w:rPr>
          <w:rFonts w:ascii="Arial" w:hAnsi="Arial" w:cs="Arial"/>
          <w:sz w:val="24"/>
          <w:szCs w:val="24"/>
        </w:rPr>
      </w:pPr>
    </w:p>
    <w:p w14:paraId="50A7EDDA" w14:textId="66F62AD8" w:rsidR="0076459F" w:rsidRPr="0076459F" w:rsidRDefault="0076459F" w:rsidP="0076459F">
      <w:pPr>
        <w:pStyle w:val="ListParagraph"/>
        <w:numPr>
          <w:ilvl w:val="0"/>
          <w:numId w:val="2"/>
        </w:numPr>
        <w:spacing w:after="0" w:line="240" w:lineRule="auto"/>
        <w:rPr>
          <w:rFonts w:ascii="Arial" w:eastAsia="Calibri" w:hAnsi="Arial" w:cs="Arial"/>
          <w:sz w:val="24"/>
          <w:szCs w:val="24"/>
        </w:rPr>
      </w:pPr>
      <w:r w:rsidRPr="0076459F">
        <w:rPr>
          <w:rFonts w:ascii="Arial" w:eastAsia="Calibri" w:hAnsi="Arial" w:cs="Arial"/>
          <w:sz w:val="24"/>
          <w:szCs w:val="24"/>
        </w:rPr>
        <w:lastRenderedPageBreak/>
        <w:t xml:space="preserve">In June 2023, NHSE launched their new </w:t>
      </w:r>
      <w:r w:rsidRPr="0076459F">
        <w:rPr>
          <w:rFonts w:ascii="Arial" w:eastAsia="Calibri" w:hAnsi="Arial" w:cs="Arial"/>
          <w:b/>
          <w:bCs/>
          <w:sz w:val="24"/>
          <w:szCs w:val="24"/>
        </w:rPr>
        <w:t>Workforce</w:t>
      </w:r>
      <w:r w:rsidRPr="0076459F">
        <w:rPr>
          <w:rFonts w:ascii="Arial" w:eastAsia="Calibri" w:hAnsi="Arial" w:cs="Arial"/>
          <w:sz w:val="24"/>
          <w:szCs w:val="24"/>
        </w:rPr>
        <w:t xml:space="preserve"> </w:t>
      </w:r>
      <w:r w:rsidRPr="0076459F">
        <w:rPr>
          <w:rFonts w:ascii="Arial" w:eastAsia="Calibri" w:hAnsi="Arial" w:cs="Arial"/>
          <w:b/>
          <w:bCs/>
          <w:sz w:val="24"/>
          <w:szCs w:val="24"/>
        </w:rPr>
        <w:t xml:space="preserve">Equality, </w:t>
      </w:r>
      <w:proofErr w:type="gramStart"/>
      <w:r w:rsidRPr="0076459F">
        <w:rPr>
          <w:rFonts w:ascii="Arial" w:eastAsia="Calibri" w:hAnsi="Arial" w:cs="Arial"/>
          <w:b/>
          <w:bCs/>
          <w:sz w:val="24"/>
          <w:szCs w:val="24"/>
        </w:rPr>
        <w:t>Diversity</w:t>
      </w:r>
      <w:proofErr w:type="gramEnd"/>
      <w:r w:rsidRPr="0076459F">
        <w:rPr>
          <w:rFonts w:ascii="Arial" w:eastAsia="Calibri" w:hAnsi="Arial" w:cs="Arial"/>
          <w:b/>
          <w:bCs/>
          <w:sz w:val="24"/>
          <w:szCs w:val="24"/>
        </w:rPr>
        <w:t xml:space="preserve"> and Inclusion (EDI) Improvement Plan </w:t>
      </w:r>
      <w:r w:rsidRPr="0076459F">
        <w:rPr>
          <w:rFonts w:ascii="Arial" w:eastAsia="Calibri" w:hAnsi="Arial" w:cs="Arial"/>
          <w:sz w:val="24"/>
          <w:szCs w:val="24"/>
        </w:rPr>
        <w:t xml:space="preserve">which sets out six measurable actions for NHS organisations to address inequalities across the nine protected characteristics in the Equality Act 2010.  Addressing all forms of discrimination and inequalities, will enable our workforce to use their full range of skills and experience to deliver the best possible care to our patients and service users. The action plan </w:t>
      </w:r>
      <w:r w:rsidR="00CF01D8">
        <w:rPr>
          <w:rFonts w:ascii="Arial" w:eastAsia="Calibri" w:hAnsi="Arial" w:cs="Arial"/>
          <w:sz w:val="24"/>
          <w:szCs w:val="24"/>
        </w:rPr>
        <w:t>attached</w:t>
      </w:r>
      <w:r w:rsidRPr="0076459F">
        <w:rPr>
          <w:rFonts w:ascii="Arial" w:eastAsia="Calibri" w:hAnsi="Arial" w:cs="Arial"/>
          <w:sz w:val="24"/>
          <w:szCs w:val="24"/>
        </w:rPr>
        <w:t xml:space="preserve"> incorporates all the relevant actions contained in the Improvement Plan</w:t>
      </w:r>
      <w:r w:rsidR="00CF01D8">
        <w:rPr>
          <w:rFonts w:ascii="Arial" w:eastAsia="Calibri" w:hAnsi="Arial" w:cs="Arial"/>
          <w:sz w:val="24"/>
          <w:szCs w:val="24"/>
        </w:rPr>
        <w:t xml:space="preserve"> </w:t>
      </w:r>
      <w:bookmarkStart w:id="3" w:name="_Hlk150929474"/>
      <w:r w:rsidR="00CF01D8">
        <w:rPr>
          <w:rFonts w:ascii="Arial" w:eastAsia="Calibri" w:hAnsi="Arial" w:cs="Arial"/>
          <w:sz w:val="24"/>
          <w:szCs w:val="24"/>
        </w:rPr>
        <w:t>which aims to address any issues contained in this report</w:t>
      </w:r>
      <w:bookmarkEnd w:id="3"/>
      <w:r w:rsidRPr="0076459F">
        <w:rPr>
          <w:rFonts w:ascii="Arial" w:eastAsia="Calibri" w:hAnsi="Arial" w:cs="Arial"/>
          <w:sz w:val="24"/>
          <w:szCs w:val="24"/>
        </w:rPr>
        <w:t>.</w:t>
      </w:r>
    </w:p>
    <w:p w14:paraId="358F4EA8" w14:textId="77777777" w:rsidR="00640455" w:rsidRPr="00640455" w:rsidRDefault="00640455" w:rsidP="00640455">
      <w:pPr>
        <w:pStyle w:val="ListParagraph"/>
        <w:rPr>
          <w:rFonts w:ascii="Arial" w:hAnsi="Arial" w:cs="Arial"/>
          <w:sz w:val="24"/>
          <w:szCs w:val="24"/>
        </w:rPr>
      </w:pPr>
    </w:p>
    <w:p w14:paraId="28A33C6C" w14:textId="77777777" w:rsidR="00CF01D8" w:rsidRPr="00CF01D8" w:rsidRDefault="00640455" w:rsidP="00CF01D8">
      <w:pPr>
        <w:pStyle w:val="ListParagraph"/>
        <w:numPr>
          <w:ilvl w:val="0"/>
          <w:numId w:val="2"/>
        </w:numPr>
        <w:spacing w:after="0" w:line="240" w:lineRule="auto"/>
        <w:rPr>
          <w:sz w:val="24"/>
          <w:szCs w:val="24"/>
        </w:rPr>
      </w:pPr>
      <w:r>
        <w:rPr>
          <w:rFonts w:ascii="Arial" w:hAnsi="Arial" w:cs="Arial"/>
          <w:sz w:val="24"/>
          <w:szCs w:val="24"/>
        </w:rPr>
        <w:t>A</w:t>
      </w:r>
      <w:r w:rsidRPr="00DB1C2D">
        <w:rPr>
          <w:rFonts w:ascii="Arial" w:hAnsi="Arial" w:cs="Arial"/>
          <w:sz w:val="24"/>
          <w:szCs w:val="24"/>
        </w:rPr>
        <w:t xml:space="preserve">s </w:t>
      </w:r>
      <w:r>
        <w:rPr>
          <w:rFonts w:ascii="Arial" w:hAnsi="Arial" w:cs="Arial"/>
          <w:sz w:val="24"/>
          <w:szCs w:val="24"/>
        </w:rPr>
        <w:t xml:space="preserve">the ICB is a newly </w:t>
      </w:r>
      <w:r w:rsidRPr="00DB1C2D">
        <w:rPr>
          <w:rFonts w:ascii="Arial" w:hAnsi="Arial" w:cs="Arial"/>
          <w:sz w:val="24"/>
          <w:szCs w:val="24"/>
        </w:rPr>
        <w:t>constituted</w:t>
      </w:r>
      <w:r>
        <w:rPr>
          <w:rFonts w:ascii="Arial" w:hAnsi="Arial" w:cs="Arial"/>
          <w:sz w:val="24"/>
          <w:szCs w:val="24"/>
        </w:rPr>
        <w:t xml:space="preserve"> organisation this year’s analysis will act as</w:t>
      </w:r>
      <w:r w:rsidRPr="00DB1C2D">
        <w:rPr>
          <w:rFonts w:ascii="Arial" w:hAnsi="Arial" w:cs="Arial"/>
          <w:sz w:val="24"/>
          <w:szCs w:val="24"/>
        </w:rPr>
        <w:t xml:space="preserve"> baseline</w:t>
      </w:r>
      <w:r>
        <w:rPr>
          <w:rFonts w:ascii="Arial" w:hAnsi="Arial" w:cs="Arial"/>
          <w:sz w:val="24"/>
          <w:szCs w:val="24"/>
        </w:rPr>
        <w:t xml:space="preserve"> data</w:t>
      </w:r>
      <w:r w:rsidRPr="00DB1C2D">
        <w:rPr>
          <w:rFonts w:ascii="Arial" w:hAnsi="Arial" w:cs="Arial"/>
          <w:sz w:val="24"/>
          <w:szCs w:val="24"/>
        </w:rPr>
        <w:t>.</w:t>
      </w:r>
      <w:r>
        <w:rPr>
          <w:rFonts w:ascii="Arial" w:hAnsi="Arial" w:cs="Arial"/>
          <w:sz w:val="24"/>
          <w:szCs w:val="24"/>
        </w:rPr>
        <w:t xml:space="preserve"> It covers the period 1</w:t>
      </w:r>
      <w:r w:rsidRPr="00146852">
        <w:rPr>
          <w:rFonts w:ascii="Arial" w:hAnsi="Arial" w:cs="Arial"/>
          <w:sz w:val="24"/>
          <w:szCs w:val="24"/>
          <w:vertAlign w:val="superscript"/>
        </w:rPr>
        <w:t>st</w:t>
      </w:r>
      <w:r>
        <w:rPr>
          <w:rFonts w:ascii="Arial" w:hAnsi="Arial" w:cs="Arial"/>
          <w:sz w:val="24"/>
          <w:szCs w:val="24"/>
        </w:rPr>
        <w:t xml:space="preserve"> July 2022 - March 31</w:t>
      </w:r>
      <w:r w:rsidRPr="00146852">
        <w:rPr>
          <w:rFonts w:ascii="Arial" w:hAnsi="Arial" w:cs="Arial"/>
          <w:sz w:val="24"/>
          <w:szCs w:val="24"/>
          <w:vertAlign w:val="superscript"/>
        </w:rPr>
        <w:t>st</w:t>
      </w:r>
      <w:proofErr w:type="gramStart"/>
      <w:r w:rsidR="00F26EBC">
        <w:rPr>
          <w:rFonts w:ascii="Arial" w:hAnsi="Arial" w:cs="Arial"/>
          <w:sz w:val="24"/>
          <w:szCs w:val="24"/>
        </w:rPr>
        <w:t xml:space="preserve"> 2023</w:t>
      </w:r>
      <w:proofErr w:type="gramEnd"/>
      <w:r>
        <w:rPr>
          <w:rFonts w:ascii="Arial" w:hAnsi="Arial" w:cs="Arial"/>
          <w:sz w:val="24"/>
          <w:szCs w:val="24"/>
        </w:rPr>
        <w:t>. The WRES was also paused for CCGs in 2021-22 so any comparison would not be possible in any case.</w:t>
      </w:r>
      <w:bookmarkEnd w:id="2"/>
    </w:p>
    <w:p w14:paraId="1951C8B7" w14:textId="77777777" w:rsidR="00CF01D8" w:rsidRPr="00CF01D8" w:rsidRDefault="00CF01D8" w:rsidP="00CF01D8">
      <w:pPr>
        <w:pStyle w:val="ListParagraph"/>
        <w:rPr>
          <w:rFonts w:ascii="Arial" w:eastAsia="Calibri" w:hAnsi="Arial" w:cs="Arial"/>
          <w:sz w:val="24"/>
          <w:szCs w:val="24"/>
        </w:rPr>
      </w:pPr>
    </w:p>
    <w:p w14:paraId="7053CB7C" w14:textId="557427B4" w:rsidR="00C86222" w:rsidRPr="009F2DE9" w:rsidRDefault="00C86222" w:rsidP="0076459F">
      <w:pPr>
        <w:pStyle w:val="ListParagraph"/>
        <w:numPr>
          <w:ilvl w:val="0"/>
          <w:numId w:val="2"/>
        </w:numPr>
        <w:spacing w:after="0" w:line="240" w:lineRule="auto"/>
        <w:rPr>
          <w:rFonts w:ascii="Arial" w:eastAsia="Times New Roman" w:hAnsi="Arial" w:cs="Arial"/>
          <w:b/>
          <w:bCs/>
          <w:sz w:val="24"/>
          <w:szCs w:val="24"/>
          <w:lang w:eastAsia="en-GB"/>
        </w:rPr>
      </w:pPr>
      <w:r w:rsidRPr="009F2DE9">
        <w:rPr>
          <w:rFonts w:ascii="Arial" w:eastAsia="Calibri" w:hAnsi="Arial" w:cs="Arial"/>
          <w:sz w:val="24"/>
          <w:szCs w:val="24"/>
        </w:rPr>
        <w:t>Note on terminology: The term “</w:t>
      </w:r>
      <w:r w:rsidR="00147FC3">
        <w:rPr>
          <w:rFonts w:ascii="Arial" w:eastAsia="Calibri" w:hAnsi="Arial" w:cs="Arial"/>
          <w:sz w:val="24"/>
          <w:szCs w:val="24"/>
        </w:rPr>
        <w:t>BME</w:t>
      </w:r>
      <w:r w:rsidRPr="009F2DE9">
        <w:rPr>
          <w:rFonts w:ascii="Arial" w:eastAsia="Calibri" w:hAnsi="Arial" w:cs="Arial"/>
          <w:sz w:val="24"/>
          <w:szCs w:val="24"/>
        </w:rPr>
        <w:t xml:space="preserve">” is used throughout this report to mirror the wording of the WRES. However, this term is becoming less used in favour of more inclusive language which does not combine all minority ethnic groups together. </w:t>
      </w:r>
    </w:p>
    <w:p w14:paraId="59B250E0" w14:textId="39E2E640" w:rsidR="00C86222" w:rsidRDefault="00C86222" w:rsidP="00C86222">
      <w:pPr>
        <w:pStyle w:val="ListParagraph"/>
        <w:rPr>
          <w:rFonts w:ascii="Arial" w:eastAsia="Times New Roman" w:hAnsi="Arial" w:cs="Arial"/>
          <w:b/>
          <w:bCs/>
          <w:sz w:val="24"/>
          <w:szCs w:val="24"/>
          <w:lang w:eastAsia="en-GB"/>
        </w:rPr>
      </w:pPr>
    </w:p>
    <w:p w14:paraId="5A3FA328" w14:textId="77777777" w:rsidR="002272A5" w:rsidRPr="009F2DE9" w:rsidRDefault="002272A5" w:rsidP="00C86222">
      <w:pPr>
        <w:pStyle w:val="ListParagraph"/>
        <w:rPr>
          <w:rFonts w:ascii="Arial" w:eastAsia="Times New Roman" w:hAnsi="Arial" w:cs="Arial"/>
          <w:b/>
          <w:bCs/>
          <w:sz w:val="24"/>
          <w:szCs w:val="24"/>
          <w:lang w:eastAsia="en-GB"/>
        </w:rPr>
      </w:pPr>
    </w:p>
    <w:p w14:paraId="1AD8A625" w14:textId="5AE3CD9C" w:rsidR="002B7229" w:rsidRPr="009F2DE9" w:rsidRDefault="002B7229" w:rsidP="00C86222">
      <w:pPr>
        <w:spacing w:after="0" w:line="240" w:lineRule="auto"/>
        <w:ind w:left="142"/>
        <w:rPr>
          <w:rFonts w:ascii="Arial" w:eastAsia="Times New Roman" w:hAnsi="Arial" w:cs="Arial"/>
          <w:b/>
          <w:bCs/>
          <w:sz w:val="24"/>
          <w:szCs w:val="24"/>
          <w:lang w:eastAsia="en-GB"/>
        </w:rPr>
      </w:pPr>
      <w:r w:rsidRPr="009F2DE9">
        <w:rPr>
          <w:rFonts w:ascii="Arial" w:eastAsia="Times New Roman" w:hAnsi="Arial" w:cs="Arial"/>
          <w:b/>
          <w:bCs/>
          <w:sz w:val="24"/>
          <w:szCs w:val="24"/>
          <w:lang w:eastAsia="en-GB"/>
        </w:rPr>
        <w:t>The WRES Reporting Tool</w:t>
      </w:r>
    </w:p>
    <w:p w14:paraId="046AA6D9" w14:textId="77777777" w:rsidR="002B7229" w:rsidRPr="009F2DE9" w:rsidRDefault="002B7229" w:rsidP="00E86EBC">
      <w:pPr>
        <w:spacing w:after="0" w:line="240" w:lineRule="auto"/>
        <w:rPr>
          <w:rFonts w:ascii="Arial" w:eastAsia="Times New Roman" w:hAnsi="Arial" w:cs="Arial"/>
          <w:sz w:val="24"/>
          <w:szCs w:val="24"/>
          <w:lang w:eastAsia="en-GB"/>
        </w:rPr>
      </w:pPr>
    </w:p>
    <w:p w14:paraId="3BFB2467" w14:textId="123C11E0" w:rsidR="00A67426" w:rsidRPr="009F2DE9" w:rsidRDefault="005B474D" w:rsidP="0076459F">
      <w:pPr>
        <w:pStyle w:val="ListParagraph"/>
        <w:numPr>
          <w:ilvl w:val="0"/>
          <w:numId w:val="2"/>
        </w:numPr>
        <w:autoSpaceDE w:val="0"/>
        <w:autoSpaceDN w:val="0"/>
        <w:adjustRightInd w:val="0"/>
        <w:spacing w:after="0" w:line="240" w:lineRule="auto"/>
        <w:rPr>
          <w:rFonts w:ascii="Arial" w:eastAsia="Calibri" w:hAnsi="Arial" w:cs="Arial"/>
          <w:sz w:val="24"/>
          <w:szCs w:val="24"/>
        </w:rPr>
      </w:pPr>
      <w:r w:rsidRPr="009F2DE9">
        <w:rPr>
          <w:rFonts w:ascii="Arial" w:hAnsi="Arial" w:cs="Arial"/>
          <w:sz w:val="24"/>
          <w:szCs w:val="24"/>
        </w:rPr>
        <w:t>The Workforce Race Equality Standard applies to all types of providers of nonprimary healthcare services operating under the full-length version of the NHS Standard Contract, and so is applicable to NHS providers, independent sector providers, and voluntary sector providers</w:t>
      </w:r>
      <w:r w:rsidR="002B7229" w:rsidRPr="009F2DE9">
        <w:rPr>
          <w:rFonts w:ascii="Arial" w:eastAsia="Calibri" w:hAnsi="Arial" w:cs="Arial"/>
          <w:sz w:val="24"/>
          <w:szCs w:val="24"/>
        </w:rPr>
        <w:t>.</w:t>
      </w:r>
    </w:p>
    <w:p w14:paraId="49206FE3" w14:textId="77777777" w:rsidR="006D4710" w:rsidRPr="009F2DE9" w:rsidRDefault="006D4710" w:rsidP="00E86EBC">
      <w:pPr>
        <w:pStyle w:val="ListParagraph"/>
        <w:spacing w:after="0" w:line="240" w:lineRule="auto"/>
        <w:ind w:left="567"/>
        <w:rPr>
          <w:rFonts w:ascii="Arial" w:eastAsia="Calibri" w:hAnsi="Arial" w:cs="Arial"/>
          <w:sz w:val="24"/>
          <w:szCs w:val="24"/>
        </w:rPr>
      </w:pPr>
    </w:p>
    <w:p w14:paraId="492EFA59" w14:textId="4070EDEA" w:rsidR="002B7229" w:rsidRPr="009F2DE9" w:rsidRDefault="005B474D" w:rsidP="0076459F">
      <w:pPr>
        <w:pStyle w:val="ListParagraph"/>
        <w:numPr>
          <w:ilvl w:val="0"/>
          <w:numId w:val="2"/>
        </w:numPr>
        <w:spacing w:after="0" w:line="240" w:lineRule="auto"/>
        <w:rPr>
          <w:rFonts w:ascii="Arial" w:eastAsia="Calibri" w:hAnsi="Arial" w:cs="Arial"/>
          <w:sz w:val="24"/>
          <w:szCs w:val="24"/>
        </w:rPr>
      </w:pPr>
      <w:r w:rsidRPr="009F2DE9">
        <w:rPr>
          <w:rFonts w:ascii="Arial" w:eastAsia="Calibri" w:hAnsi="Arial" w:cs="Arial"/>
          <w:sz w:val="24"/>
          <w:szCs w:val="24"/>
        </w:rPr>
        <w:t xml:space="preserve">ICBs </w:t>
      </w:r>
      <w:r w:rsidR="002B7229" w:rsidRPr="009F2DE9">
        <w:rPr>
          <w:rFonts w:ascii="Arial" w:eastAsia="Calibri" w:hAnsi="Arial" w:cs="Arial"/>
          <w:sz w:val="24"/>
          <w:szCs w:val="24"/>
        </w:rPr>
        <w:t>have two roles in relation to the WRES</w:t>
      </w:r>
      <w:r w:rsidRPr="009F2DE9">
        <w:rPr>
          <w:rFonts w:ascii="Arial" w:eastAsia="Calibri" w:hAnsi="Arial" w:cs="Arial"/>
          <w:sz w:val="24"/>
          <w:szCs w:val="24"/>
        </w:rPr>
        <w:t xml:space="preserve"> -</w:t>
      </w:r>
      <w:r w:rsidR="00CC0A81" w:rsidRPr="009F2DE9">
        <w:rPr>
          <w:rFonts w:ascii="Arial" w:eastAsia="Calibri" w:hAnsi="Arial" w:cs="Arial"/>
          <w:sz w:val="24"/>
          <w:szCs w:val="24"/>
        </w:rPr>
        <w:t xml:space="preserve"> </w:t>
      </w:r>
      <w:r w:rsidR="002B7229" w:rsidRPr="009F2DE9">
        <w:rPr>
          <w:rFonts w:ascii="Arial" w:eastAsia="Calibri" w:hAnsi="Arial" w:cs="Arial"/>
          <w:sz w:val="24"/>
          <w:szCs w:val="24"/>
        </w:rPr>
        <w:t>as a commissioner of NHS services and as employer</w:t>
      </w:r>
      <w:r w:rsidRPr="009F2DE9">
        <w:rPr>
          <w:rFonts w:ascii="Arial" w:eastAsia="Calibri" w:hAnsi="Arial" w:cs="Arial"/>
          <w:sz w:val="24"/>
          <w:szCs w:val="24"/>
        </w:rPr>
        <w:t>s</w:t>
      </w:r>
      <w:r w:rsidR="002B7229" w:rsidRPr="009F2DE9">
        <w:rPr>
          <w:rFonts w:ascii="Arial" w:eastAsia="Calibri" w:hAnsi="Arial" w:cs="Arial"/>
          <w:sz w:val="24"/>
          <w:szCs w:val="24"/>
        </w:rPr>
        <w:t>.  In both roles, our work is shaped by key statutory requirements and policy drivers including those arising from:</w:t>
      </w:r>
    </w:p>
    <w:p w14:paraId="4C0DE5BD" w14:textId="77777777" w:rsidR="00920728" w:rsidRPr="009F2DE9" w:rsidRDefault="00920728" w:rsidP="00E86EBC">
      <w:pPr>
        <w:pStyle w:val="ListParagraph"/>
        <w:spacing w:after="0" w:line="240" w:lineRule="auto"/>
        <w:rPr>
          <w:rFonts w:ascii="Arial" w:eastAsia="Calibri" w:hAnsi="Arial" w:cs="Arial"/>
          <w:sz w:val="24"/>
          <w:szCs w:val="24"/>
        </w:rPr>
      </w:pPr>
    </w:p>
    <w:p w14:paraId="2A46FD3A" w14:textId="50A7F93F" w:rsidR="002B7229" w:rsidRPr="009F2DE9" w:rsidRDefault="002B7229">
      <w:pPr>
        <w:pStyle w:val="ListParagraph"/>
        <w:numPr>
          <w:ilvl w:val="0"/>
          <w:numId w:val="1"/>
        </w:numPr>
        <w:spacing w:after="0" w:line="240" w:lineRule="auto"/>
        <w:rPr>
          <w:rFonts w:ascii="Arial" w:eastAsia="Calibri" w:hAnsi="Arial" w:cs="Arial"/>
          <w:sz w:val="24"/>
          <w:szCs w:val="24"/>
        </w:rPr>
      </w:pPr>
      <w:r w:rsidRPr="009F2DE9">
        <w:rPr>
          <w:rFonts w:ascii="Arial" w:eastAsia="Calibri" w:hAnsi="Arial" w:cs="Arial"/>
          <w:sz w:val="24"/>
          <w:szCs w:val="24"/>
        </w:rPr>
        <w:t>The NHS Constitution</w:t>
      </w:r>
    </w:p>
    <w:p w14:paraId="006D6C32" w14:textId="2AE5DC51" w:rsidR="002B7229" w:rsidRPr="009F2DE9" w:rsidRDefault="002B7229">
      <w:pPr>
        <w:pStyle w:val="ListParagraph"/>
        <w:numPr>
          <w:ilvl w:val="0"/>
          <w:numId w:val="1"/>
        </w:numPr>
        <w:spacing w:after="0" w:line="240" w:lineRule="auto"/>
        <w:rPr>
          <w:rFonts w:ascii="Arial" w:eastAsia="Calibri" w:hAnsi="Arial" w:cs="Arial"/>
          <w:sz w:val="24"/>
          <w:szCs w:val="24"/>
        </w:rPr>
      </w:pPr>
      <w:r w:rsidRPr="009F2DE9">
        <w:rPr>
          <w:rFonts w:ascii="Arial" w:eastAsia="Calibri" w:hAnsi="Arial" w:cs="Arial"/>
          <w:sz w:val="24"/>
          <w:szCs w:val="24"/>
        </w:rPr>
        <w:t>The Equality Act (2010) and the Public Sector Equality Duty</w:t>
      </w:r>
    </w:p>
    <w:p w14:paraId="00DC70A4" w14:textId="4F41C872" w:rsidR="002B7229" w:rsidRPr="009F2DE9" w:rsidRDefault="002B7229">
      <w:pPr>
        <w:pStyle w:val="ListParagraph"/>
        <w:numPr>
          <w:ilvl w:val="0"/>
          <w:numId w:val="1"/>
        </w:numPr>
        <w:spacing w:after="0" w:line="240" w:lineRule="auto"/>
        <w:rPr>
          <w:rFonts w:ascii="Arial" w:eastAsia="Calibri" w:hAnsi="Arial" w:cs="Arial"/>
          <w:sz w:val="24"/>
          <w:szCs w:val="24"/>
        </w:rPr>
      </w:pPr>
      <w:r w:rsidRPr="009F2DE9">
        <w:rPr>
          <w:rFonts w:ascii="Arial" w:eastAsia="Calibri" w:hAnsi="Arial" w:cs="Arial"/>
          <w:sz w:val="24"/>
          <w:szCs w:val="24"/>
        </w:rPr>
        <w:t>The NHS standard contract and associated documents</w:t>
      </w:r>
    </w:p>
    <w:p w14:paraId="6B33C731" w14:textId="125FD4AC" w:rsidR="00AA7E80" w:rsidRPr="009F2DE9" w:rsidRDefault="002B7229">
      <w:pPr>
        <w:pStyle w:val="ListParagraph"/>
        <w:numPr>
          <w:ilvl w:val="0"/>
          <w:numId w:val="1"/>
        </w:numPr>
        <w:spacing w:after="0" w:line="240" w:lineRule="auto"/>
        <w:rPr>
          <w:rFonts w:ascii="Arial" w:eastAsia="Calibri" w:hAnsi="Arial" w:cs="Arial"/>
          <w:sz w:val="24"/>
          <w:szCs w:val="24"/>
        </w:rPr>
      </w:pPr>
      <w:r w:rsidRPr="009F2DE9">
        <w:rPr>
          <w:rFonts w:ascii="Arial" w:eastAsia="Calibri" w:hAnsi="Arial" w:cs="Arial"/>
          <w:sz w:val="24"/>
          <w:szCs w:val="24"/>
        </w:rPr>
        <w:t xml:space="preserve">The </w:t>
      </w:r>
      <w:r w:rsidR="005B474D" w:rsidRPr="009F2DE9">
        <w:rPr>
          <w:rFonts w:ascii="Arial" w:eastAsia="Calibri" w:hAnsi="Arial" w:cs="Arial"/>
          <w:sz w:val="24"/>
          <w:szCs w:val="24"/>
        </w:rPr>
        <w:t xml:space="preserve">ICB </w:t>
      </w:r>
      <w:r w:rsidRPr="009F2DE9">
        <w:rPr>
          <w:rFonts w:ascii="Arial" w:eastAsia="Calibri" w:hAnsi="Arial" w:cs="Arial"/>
          <w:sz w:val="24"/>
          <w:szCs w:val="24"/>
        </w:rPr>
        <w:t xml:space="preserve">Improvement and Assessment </w:t>
      </w:r>
      <w:r w:rsidR="00A3062C" w:rsidRPr="009F2DE9">
        <w:rPr>
          <w:rFonts w:ascii="Arial" w:eastAsia="Calibri" w:hAnsi="Arial" w:cs="Arial"/>
          <w:sz w:val="24"/>
          <w:szCs w:val="24"/>
        </w:rPr>
        <w:t>Framework.</w:t>
      </w:r>
      <w:r w:rsidR="00175728" w:rsidRPr="009F2DE9">
        <w:rPr>
          <w:rFonts w:ascii="Arial" w:eastAsia="Calibri" w:hAnsi="Arial" w:cs="Arial"/>
          <w:sz w:val="24"/>
          <w:szCs w:val="24"/>
        </w:rPr>
        <w:t xml:space="preserve"> </w:t>
      </w:r>
    </w:p>
    <w:p w14:paraId="7C354DC3" w14:textId="579DDB6D" w:rsidR="002B7229" w:rsidRPr="00E97028" w:rsidRDefault="00E97028" w:rsidP="00E97028">
      <w:pPr>
        <w:pStyle w:val="ListParagraph"/>
        <w:numPr>
          <w:ilvl w:val="0"/>
          <w:numId w:val="1"/>
        </w:numPr>
        <w:spacing w:after="0" w:line="240" w:lineRule="auto"/>
        <w:rPr>
          <w:rFonts w:ascii="Arial" w:eastAsia="Times New Roman" w:hAnsi="Arial" w:cs="Arial"/>
          <w:sz w:val="24"/>
          <w:szCs w:val="24"/>
          <w:lang w:eastAsia="en-GB"/>
        </w:rPr>
      </w:pPr>
      <w:r w:rsidRPr="00E97028">
        <w:rPr>
          <w:rFonts w:ascii="Arial" w:eastAsia="Calibri" w:hAnsi="Arial" w:cs="Arial"/>
          <w:sz w:val="24"/>
          <w:szCs w:val="24"/>
        </w:rPr>
        <w:t xml:space="preserve">Workforce Equality, </w:t>
      </w:r>
      <w:proofErr w:type="gramStart"/>
      <w:r w:rsidRPr="00E97028">
        <w:rPr>
          <w:rFonts w:ascii="Arial" w:eastAsia="Calibri" w:hAnsi="Arial" w:cs="Arial"/>
          <w:sz w:val="24"/>
          <w:szCs w:val="24"/>
        </w:rPr>
        <w:t>Diversity</w:t>
      </w:r>
      <w:proofErr w:type="gramEnd"/>
      <w:r w:rsidRPr="00E97028">
        <w:rPr>
          <w:rFonts w:ascii="Arial" w:eastAsia="Calibri" w:hAnsi="Arial" w:cs="Arial"/>
          <w:sz w:val="24"/>
          <w:szCs w:val="24"/>
        </w:rPr>
        <w:t xml:space="preserve"> and Inclusion (EDI) Improvement Plan</w:t>
      </w:r>
    </w:p>
    <w:p w14:paraId="5E4C732C" w14:textId="68486BF3" w:rsidR="00E97028" w:rsidRPr="00E97028" w:rsidRDefault="00E97028" w:rsidP="00E97028">
      <w:pPr>
        <w:pStyle w:val="ListParagraph"/>
        <w:numPr>
          <w:ilvl w:val="0"/>
          <w:numId w:val="1"/>
        </w:numPr>
        <w:spacing w:after="0" w:line="240" w:lineRule="auto"/>
        <w:rPr>
          <w:rFonts w:ascii="Arial" w:eastAsia="Times New Roman" w:hAnsi="Arial" w:cs="Arial"/>
          <w:sz w:val="24"/>
          <w:szCs w:val="24"/>
          <w:lang w:eastAsia="en-GB"/>
        </w:rPr>
      </w:pPr>
      <w:r>
        <w:rPr>
          <w:rFonts w:ascii="Arial" w:eastAsia="Calibri" w:hAnsi="Arial" w:cs="Arial"/>
          <w:sz w:val="24"/>
          <w:szCs w:val="24"/>
        </w:rPr>
        <w:t>Equality Delivery System 2022</w:t>
      </w:r>
    </w:p>
    <w:p w14:paraId="0AACF271" w14:textId="77777777" w:rsidR="00E97028" w:rsidRPr="00E97028" w:rsidRDefault="00E97028" w:rsidP="00E97028">
      <w:pPr>
        <w:spacing w:after="0" w:line="240" w:lineRule="auto"/>
        <w:ind w:left="1080"/>
        <w:rPr>
          <w:rFonts w:ascii="Arial" w:eastAsia="Times New Roman" w:hAnsi="Arial" w:cs="Arial"/>
          <w:sz w:val="24"/>
          <w:szCs w:val="24"/>
          <w:lang w:eastAsia="en-GB"/>
        </w:rPr>
      </w:pPr>
    </w:p>
    <w:p w14:paraId="5DB0E356" w14:textId="06DE1983" w:rsidR="00175728" w:rsidRPr="009F2DE9" w:rsidRDefault="002B7229" w:rsidP="0076459F">
      <w:pPr>
        <w:pStyle w:val="ListParagraph"/>
        <w:numPr>
          <w:ilvl w:val="0"/>
          <w:numId w:val="2"/>
        </w:numPr>
        <w:spacing w:after="0" w:line="240" w:lineRule="auto"/>
        <w:rPr>
          <w:rFonts w:ascii="Arial" w:eastAsia="Calibri" w:hAnsi="Arial" w:cs="Arial"/>
          <w:sz w:val="24"/>
          <w:szCs w:val="24"/>
        </w:rPr>
      </w:pPr>
      <w:r w:rsidRPr="009F2DE9">
        <w:rPr>
          <w:rFonts w:ascii="Arial" w:eastAsia="Calibri" w:hAnsi="Arial" w:cs="Arial"/>
          <w:sz w:val="24"/>
          <w:szCs w:val="24"/>
        </w:rPr>
        <w:t xml:space="preserve">In addition to the NHS standard contract, the </w:t>
      </w:r>
      <w:r w:rsidR="005B474D" w:rsidRPr="009F2DE9">
        <w:rPr>
          <w:rFonts w:ascii="Arial" w:eastAsia="Calibri" w:hAnsi="Arial" w:cs="Arial"/>
          <w:sz w:val="24"/>
          <w:szCs w:val="24"/>
        </w:rPr>
        <w:t>ICB</w:t>
      </w:r>
      <w:r w:rsidRPr="009F2DE9">
        <w:rPr>
          <w:rFonts w:ascii="Arial" w:eastAsia="Calibri" w:hAnsi="Arial" w:cs="Arial"/>
          <w:sz w:val="24"/>
          <w:szCs w:val="24"/>
        </w:rPr>
        <w:t xml:space="preserve"> Improvement and Assessment Framework requires </w:t>
      </w:r>
      <w:r w:rsidR="005B474D" w:rsidRPr="009F2DE9">
        <w:rPr>
          <w:rFonts w:ascii="Arial" w:eastAsia="Calibri" w:hAnsi="Arial" w:cs="Arial"/>
          <w:sz w:val="24"/>
          <w:szCs w:val="24"/>
        </w:rPr>
        <w:t>ICBs</w:t>
      </w:r>
      <w:r w:rsidRPr="009F2DE9">
        <w:rPr>
          <w:rFonts w:ascii="Arial" w:eastAsia="Calibri" w:hAnsi="Arial" w:cs="Arial"/>
          <w:sz w:val="24"/>
          <w:szCs w:val="24"/>
        </w:rPr>
        <w:t xml:space="preserve"> to give assurance to NHS England</w:t>
      </w:r>
      <w:r w:rsidR="00E76886" w:rsidRPr="009F2DE9">
        <w:rPr>
          <w:rFonts w:ascii="Arial" w:eastAsia="Calibri" w:hAnsi="Arial" w:cs="Arial"/>
          <w:sz w:val="24"/>
          <w:szCs w:val="24"/>
        </w:rPr>
        <w:t xml:space="preserve"> </w:t>
      </w:r>
      <w:r w:rsidRPr="009F2DE9">
        <w:rPr>
          <w:rFonts w:ascii="Arial" w:eastAsia="Calibri" w:hAnsi="Arial" w:cs="Arial"/>
          <w:sz w:val="24"/>
          <w:szCs w:val="24"/>
        </w:rPr>
        <w:t>that our providers are implementing and using the WRES.</w:t>
      </w:r>
      <w:r w:rsidR="00175728" w:rsidRPr="009F2DE9">
        <w:rPr>
          <w:rFonts w:ascii="Arial" w:eastAsia="Calibri" w:hAnsi="Arial" w:cs="Arial"/>
          <w:sz w:val="24"/>
          <w:szCs w:val="24"/>
        </w:rPr>
        <w:t xml:space="preserve">  Therefore</w:t>
      </w:r>
      <w:r w:rsidRPr="009F2DE9">
        <w:rPr>
          <w:rFonts w:ascii="Arial" w:eastAsia="Calibri" w:hAnsi="Arial" w:cs="Arial"/>
          <w:sz w:val="24"/>
          <w:szCs w:val="24"/>
        </w:rPr>
        <w:t xml:space="preserve">, implementing the WRES and working on its results </w:t>
      </w:r>
      <w:r w:rsidR="003731BC" w:rsidRPr="009F2DE9">
        <w:rPr>
          <w:rFonts w:ascii="Arial" w:eastAsia="Calibri" w:hAnsi="Arial" w:cs="Arial"/>
          <w:sz w:val="24"/>
          <w:szCs w:val="24"/>
        </w:rPr>
        <w:t xml:space="preserve">together with the </w:t>
      </w:r>
      <w:r w:rsidRPr="009F2DE9">
        <w:rPr>
          <w:rFonts w:ascii="Arial" w:eastAsia="Calibri" w:hAnsi="Arial" w:cs="Arial"/>
          <w:sz w:val="24"/>
          <w:szCs w:val="24"/>
        </w:rPr>
        <w:t xml:space="preserve">subsequent action plans is a part of contract monitoring arrangements between the </w:t>
      </w:r>
      <w:r w:rsidR="005B474D" w:rsidRPr="009F2DE9">
        <w:rPr>
          <w:rFonts w:ascii="Arial" w:eastAsia="Calibri" w:hAnsi="Arial" w:cs="Arial"/>
          <w:sz w:val="24"/>
          <w:szCs w:val="24"/>
        </w:rPr>
        <w:t>ICB</w:t>
      </w:r>
      <w:r w:rsidRPr="009F2DE9">
        <w:rPr>
          <w:rFonts w:ascii="Arial" w:eastAsia="Calibri" w:hAnsi="Arial" w:cs="Arial"/>
          <w:sz w:val="24"/>
          <w:szCs w:val="24"/>
        </w:rPr>
        <w:t xml:space="preserve"> and our </w:t>
      </w:r>
      <w:r w:rsidR="008334A4" w:rsidRPr="009F2DE9">
        <w:rPr>
          <w:rFonts w:ascii="Arial" w:eastAsia="Calibri" w:hAnsi="Arial" w:cs="Arial"/>
          <w:sz w:val="24"/>
          <w:szCs w:val="24"/>
        </w:rPr>
        <w:t xml:space="preserve">system </w:t>
      </w:r>
      <w:r w:rsidRPr="009F2DE9">
        <w:rPr>
          <w:rFonts w:ascii="Arial" w:eastAsia="Calibri" w:hAnsi="Arial" w:cs="Arial"/>
          <w:sz w:val="24"/>
          <w:szCs w:val="24"/>
        </w:rPr>
        <w:t>provider organisations.</w:t>
      </w:r>
    </w:p>
    <w:p w14:paraId="5B9CCB41" w14:textId="77777777" w:rsidR="00000987" w:rsidRPr="009F2DE9" w:rsidRDefault="00000987" w:rsidP="00E86EBC">
      <w:pPr>
        <w:spacing w:after="0" w:line="240" w:lineRule="auto"/>
        <w:rPr>
          <w:rFonts w:ascii="Arial" w:hAnsi="Arial" w:cs="Arial"/>
          <w:sz w:val="24"/>
          <w:szCs w:val="24"/>
        </w:rPr>
      </w:pPr>
    </w:p>
    <w:p w14:paraId="5D877E46" w14:textId="175654D4" w:rsidR="00000987" w:rsidRPr="009F2DE9" w:rsidRDefault="00000987" w:rsidP="0076459F">
      <w:pPr>
        <w:pStyle w:val="ListParagraph"/>
        <w:numPr>
          <w:ilvl w:val="0"/>
          <w:numId w:val="2"/>
        </w:numPr>
        <w:spacing w:after="0" w:line="240" w:lineRule="auto"/>
        <w:rPr>
          <w:rFonts w:ascii="Arial" w:hAnsi="Arial" w:cs="Arial"/>
          <w:sz w:val="24"/>
          <w:szCs w:val="24"/>
        </w:rPr>
      </w:pPr>
      <w:r w:rsidRPr="009F2DE9">
        <w:rPr>
          <w:rFonts w:ascii="Arial" w:hAnsi="Arial" w:cs="Arial"/>
          <w:sz w:val="24"/>
          <w:szCs w:val="24"/>
        </w:rPr>
        <w:t>The use of W</w:t>
      </w:r>
      <w:r w:rsidR="00620C25">
        <w:rPr>
          <w:rFonts w:ascii="Arial" w:hAnsi="Arial" w:cs="Arial"/>
          <w:sz w:val="24"/>
          <w:szCs w:val="24"/>
        </w:rPr>
        <w:t>R</w:t>
      </w:r>
      <w:r w:rsidRPr="009F2DE9">
        <w:rPr>
          <w:rFonts w:ascii="Arial" w:hAnsi="Arial" w:cs="Arial"/>
          <w:sz w:val="24"/>
          <w:szCs w:val="24"/>
        </w:rPr>
        <w:t xml:space="preserve">ES evidence is also a requirement of new Equality Delivery System 2022 </w:t>
      </w:r>
      <w:r w:rsidR="00F26EBC">
        <w:rPr>
          <w:rFonts w:ascii="Arial" w:hAnsi="Arial" w:cs="Arial"/>
          <w:sz w:val="24"/>
          <w:szCs w:val="24"/>
        </w:rPr>
        <w:t xml:space="preserve">under the </w:t>
      </w:r>
      <w:r w:rsidRPr="00F26EBC">
        <w:rPr>
          <w:rFonts w:ascii="Arial" w:hAnsi="Arial" w:cs="Arial"/>
          <w:sz w:val="24"/>
          <w:szCs w:val="24"/>
        </w:rPr>
        <w:t>‘</w:t>
      </w:r>
      <w:r w:rsidRPr="00F26EBC">
        <w:rPr>
          <w:rFonts w:ascii="Arial" w:hAnsi="Arial" w:cs="Arial"/>
          <w:b/>
          <w:sz w:val="24"/>
          <w:szCs w:val="24"/>
        </w:rPr>
        <w:t>Workforce health and well-being’</w:t>
      </w:r>
      <w:r w:rsidRPr="009F2DE9">
        <w:rPr>
          <w:rFonts w:ascii="Arial" w:hAnsi="Arial" w:cs="Arial"/>
          <w:b/>
          <w:i/>
          <w:sz w:val="24"/>
          <w:szCs w:val="24"/>
        </w:rPr>
        <w:t xml:space="preserve"> </w:t>
      </w:r>
      <w:r w:rsidR="00F26EBC" w:rsidRPr="00F26EBC">
        <w:rPr>
          <w:rFonts w:ascii="Arial" w:hAnsi="Arial" w:cs="Arial"/>
          <w:bCs/>
          <w:iCs/>
          <w:sz w:val="24"/>
          <w:szCs w:val="24"/>
        </w:rPr>
        <w:t>D</w:t>
      </w:r>
      <w:r w:rsidRPr="009F2DE9">
        <w:rPr>
          <w:rFonts w:ascii="Arial" w:hAnsi="Arial" w:cs="Arial"/>
          <w:bCs/>
          <w:iCs/>
          <w:sz w:val="24"/>
          <w:szCs w:val="24"/>
        </w:rPr>
        <w:t>omain</w:t>
      </w:r>
      <w:r w:rsidRPr="009F2DE9">
        <w:rPr>
          <w:rFonts w:ascii="Arial" w:hAnsi="Arial" w:cs="Arial"/>
          <w:b/>
          <w:i/>
          <w:sz w:val="24"/>
          <w:szCs w:val="24"/>
        </w:rPr>
        <w:t xml:space="preserve"> </w:t>
      </w:r>
      <w:r w:rsidR="00620C25" w:rsidRPr="00620C25">
        <w:rPr>
          <w:rFonts w:ascii="Arial" w:hAnsi="Arial" w:cs="Arial"/>
          <w:bCs/>
          <w:iCs/>
          <w:sz w:val="24"/>
          <w:szCs w:val="24"/>
        </w:rPr>
        <w:t>to ensure</w:t>
      </w:r>
      <w:r w:rsidRPr="009F2DE9">
        <w:rPr>
          <w:rFonts w:ascii="Arial" w:hAnsi="Arial" w:cs="Arial"/>
          <w:sz w:val="24"/>
          <w:szCs w:val="24"/>
        </w:rPr>
        <w:t xml:space="preserve"> that there is symmetry across the NHS mandated standards.</w:t>
      </w:r>
    </w:p>
    <w:p w14:paraId="5F0CE43F" w14:textId="77777777" w:rsidR="001B51E3" w:rsidRPr="009F2DE9" w:rsidRDefault="001B51E3" w:rsidP="00960BD2">
      <w:pPr>
        <w:spacing w:after="0" w:line="240" w:lineRule="auto"/>
        <w:rPr>
          <w:rFonts w:ascii="Arial" w:eastAsia="Times New Roman" w:hAnsi="Arial" w:cs="Arial"/>
          <w:bCs/>
          <w:sz w:val="24"/>
          <w:szCs w:val="24"/>
          <w:lang w:eastAsia="en-GB"/>
        </w:rPr>
      </w:pPr>
    </w:p>
    <w:p w14:paraId="23611015" w14:textId="77777777" w:rsidR="00B82771" w:rsidRDefault="00B82771" w:rsidP="00960BD2">
      <w:pPr>
        <w:spacing w:after="0" w:line="240" w:lineRule="auto"/>
        <w:rPr>
          <w:rFonts w:ascii="Arial" w:eastAsia="Times New Roman" w:hAnsi="Arial" w:cs="Arial"/>
          <w:b/>
          <w:sz w:val="24"/>
          <w:szCs w:val="24"/>
          <w:lang w:eastAsia="en-GB"/>
        </w:rPr>
      </w:pPr>
    </w:p>
    <w:p w14:paraId="4E70449E" w14:textId="77777777" w:rsidR="00F26EBC" w:rsidRDefault="00F26EBC" w:rsidP="00960BD2">
      <w:pPr>
        <w:spacing w:after="0" w:line="240" w:lineRule="auto"/>
        <w:rPr>
          <w:rFonts w:ascii="Arial" w:eastAsia="Times New Roman" w:hAnsi="Arial" w:cs="Arial"/>
          <w:b/>
          <w:sz w:val="24"/>
          <w:szCs w:val="24"/>
          <w:lang w:eastAsia="en-GB"/>
        </w:rPr>
      </w:pPr>
    </w:p>
    <w:p w14:paraId="196211F4" w14:textId="77777777" w:rsidR="00F26EBC" w:rsidRDefault="00F26EBC" w:rsidP="00960BD2">
      <w:pPr>
        <w:spacing w:after="0" w:line="240" w:lineRule="auto"/>
        <w:rPr>
          <w:rFonts w:ascii="Arial" w:eastAsia="Times New Roman" w:hAnsi="Arial" w:cs="Arial"/>
          <w:b/>
          <w:sz w:val="24"/>
          <w:szCs w:val="24"/>
          <w:lang w:eastAsia="en-GB"/>
        </w:rPr>
      </w:pPr>
    </w:p>
    <w:p w14:paraId="2AEE7865" w14:textId="77777777" w:rsidR="00B82771" w:rsidRDefault="00B82771" w:rsidP="00960BD2">
      <w:pPr>
        <w:spacing w:after="0" w:line="240" w:lineRule="auto"/>
        <w:rPr>
          <w:rFonts w:ascii="Arial" w:eastAsia="Times New Roman" w:hAnsi="Arial" w:cs="Arial"/>
          <w:b/>
          <w:sz w:val="24"/>
          <w:szCs w:val="24"/>
          <w:lang w:eastAsia="en-GB"/>
        </w:rPr>
      </w:pPr>
    </w:p>
    <w:p w14:paraId="7DAF1D04" w14:textId="5DB2AEF3" w:rsidR="002B7229" w:rsidRPr="009F2DE9" w:rsidRDefault="002B7229" w:rsidP="00960BD2">
      <w:pPr>
        <w:spacing w:after="0" w:line="240" w:lineRule="auto"/>
        <w:rPr>
          <w:rFonts w:ascii="Arial" w:eastAsia="Times New Roman" w:hAnsi="Arial" w:cs="Arial"/>
          <w:b/>
          <w:sz w:val="24"/>
          <w:szCs w:val="24"/>
          <w:lang w:eastAsia="en-GB"/>
        </w:rPr>
      </w:pPr>
      <w:r w:rsidRPr="009F2DE9">
        <w:rPr>
          <w:rFonts w:ascii="Arial" w:eastAsia="Times New Roman" w:hAnsi="Arial" w:cs="Arial"/>
          <w:b/>
          <w:sz w:val="24"/>
          <w:szCs w:val="24"/>
          <w:lang w:eastAsia="en-GB"/>
        </w:rPr>
        <w:t>The WRES Indicators</w:t>
      </w:r>
    </w:p>
    <w:p w14:paraId="41F91ED6" w14:textId="77777777" w:rsidR="002B7229" w:rsidRPr="009F2DE9" w:rsidRDefault="002B7229" w:rsidP="00A43823">
      <w:pPr>
        <w:spacing w:after="0" w:line="240" w:lineRule="auto"/>
        <w:rPr>
          <w:rFonts w:ascii="Arial" w:eastAsia="Times New Roman" w:hAnsi="Arial" w:cs="Arial"/>
          <w:sz w:val="24"/>
          <w:szCs w:val="24"/>
          <w:lang w:eastAsia="en-GB"/>
        </w:rPr>
      </w:pPr>
    </w:p>
    <w:p w14:paraId="4DAA3A30" w14:textId="57244957" w:rsidR="00A67426" w:rsidRPr="009F2DE9" w:rsidRDefault="002B7229" w:rsidP="0076459F">
      <w:pPr>
        <w:pStyle w:val="ListParagraph"/>
        <w:numPr>
          <w:ilvl w:val="0"/>
          <w:numId w:val="2"/>
        </w:numPr>
        <w:spacing w:after="0" w:line="240" w:lineRule="auto"/>
        <w:rPr>
          <w:rFonts w:ascii="Arial" w:eastAsia="Calibri" w:hAnsi="Arial" w:cs="Arial"/>
          <w:sz w:val="24"/>
          <w:szCs w:val="24"/>
        </w:rPr>
      </w:pPr>
      <w:r w:rsidRPr="009F2DE9">
        <w:rPr>
          <w:rFonts w:ascii="Arial" w:eastAsia="Calibri" w:hAnsi="Arial" w:cs="Arial"/>
          <w:sz w:val="24"/>
          <w:szCs w:val="24"/>
        </w:rPr>
        <w:t>With over one million employees, the NHS is mandated to show progress against several indicators o</w:t>
      </w:r>
      <w:r w:rsidR="00E00442" w:rsidRPr="009F2DE9">
        <w:rPr>
          <w:rFonts w:ascii="Arial" w:eastAsia="Calibri" w:hAnsi="Arial" w:cs="Arial"/>
          <w:sz w:val="24"/>
          <w:szCs w:val="24"/>
        </w:rPr>
        <w:t>n</w:t>
      </w:r>
      <w:r w:rsidRPr="009F2DE9">
        <w:rPr>
          <w:rFonts w:ascii="Arial" w:eastAsia="Calibri" w:hAnsi="Arial" w:cs="Arial"/>
          <w:sz w:val="24"/>
          <w:szCs w:val="24"/>
        </w:rPr>
        <w:t xml:space="preserve"> workforce equality, including a specific indicator to address the low numbers of </w:t>
      </w:r>
      <w:r w:rsidR="00147FC3">
        <w:rPr>
          <w:rFonts w:ascii="Arial" w:eastAsia="Calibri" w:hAnsi="Arial" w:cs="Arial"/>
          <w:sz w:val="24"/>
          <w:szCs w:val="24"/>
        </w:rPr>
        <w:t>BME</w:t>
      </w:r>
      <w:r w:rsidRPr="009F2DE9">
        <w:rPr>
          <w:rFonts w:ascii="Arial" w:eastAsia="Calibri" w:hAnsi="Arial" w:cs="Arial"/>
          <w:sz w:val="24"/>
          <w:szCs w:val="24"/>
        </w:rPr>
        <w:t xml:space="preserve"> </w:t>
      </w:r>
      <w:r w:rsidR="00E76886" w:rsidRPr="009F2DE9">
        <w:rPr>
          <w:rFonts w:ascii="Arial" w:eastAsia="Calibri" w:hAnsi="Arial" w:cs="Arial"/>
          <w:sz w:val="24"/>
          <w:szCs w:val="24"/>
        </w:rPr>
        <w:t>B</w:t>
      </w:r>
      <w:r w:rsidRPr="009F2DE9">
        <w:rPr>
          <w:rFonts w:ascii="Arial" w:eastAsia="Calibri" w:hAnsi="Arial" w:cs="Arial"/>
          <w:sz w:val="24"/>
          <w:szCs w:val="24"/>
        </w:rPr>
        <w:t>oard members across the organisation</w:t>
      </w:r>
      <w:r w:rsidR="00E76886" w:rsidRPr="009F2DE9">
        <w:rPr>
          <w:rFonts w:ascii="Arial" w:eastAsia="Calibri" w:hAnsi="Arial" w:cs="Arial"/>
          <w:sz w:val="24"/>
          <w:szCs w:val="24"/>
        </w:rPr>
        <w:t>s</w:t>
      </w:r>
      <w:r w:rsidRPr="009F2DE9">
        <w:rPr>
          <w:rFonts w:ascii="Arial" w:eastAsia="Calibri" w:hAnsi="Arial" w:cs="Arial"/>
          <w:sz w:val="24"/>
          <w:szCs w:val="24"/>
        </w:rPr>
        <w:t>.</w:t>
      </w:r>
    </w:p>
    <w:p w14:paraId="587AFE77" w14:textId="77777777" w:rsidR="00A67426" w:rsidRPr="009F2DE9" w:rsidRDefault="00A67426" w:rsidP="00A67426">
      <w:pPr>
        <w:pStyle w:val="ListParagraph"/>
        <w:spacing w:after="0" w:line="240" w:lineRule="auto"/>
        <w:ind w:left="567"/>
        <w:rPr>
          <w:rFonts w:ascii="Arial" w:eastAsia="Calibri" w:hAnsi="Arial" w:cs="Arial"/>
          <w:sz w:val="24"/>
          <w:szCs w:val="24"/>
        </w:rPr>
      </w:pPr>
    </w:p>
    <w:p w14:paraId="00236E98" w14:textId="104DE9F7" w:rsidR="00E30FA2" w:rsidRPr="00E774A6" w:rsidRDefault="00175728" w:rsidP="0076459F">
      <w:pPr>
        <w:pStyle w:val="ListParagraph"/>
        <w:numPr>
          <w:ilvl w:val="0"/>
          <w:numId w:val="2"/>
        </w:numPr>
        <w:spacing w:after="0" w:line="240" w:lineRule="auto"/>
        <w:rPr>
          <w:rFonts w:ascii="Arial" w:hAnsi="Arial" w:cs="Arial"/>
          <w:b/>
          <w:bCs/>
          <w:sz w:val="24"/>
          <w:szCs w:val="24"/>
        </w:rPr>
      </w:pPr>
      <w:r w:rsidRPr="00E774A6">
        <w:rPr>
          <w:rFonts w:ascii="Arial" w:eastAsia="Calibri" w:hAnsi="Arial" w:cs="Arial"/>
          <w:sz w:val="24"/>
          <w:szCs w:val="24"/>
        </w:rPr>
        <w:t xml:space="preserve">The </w:t>
      </w:r>
      <w:r w:rsidR="002B7229" w:rsidRPr="00E774A6">
        <w:rPr>
          <w:rFonts w:ascii="Arial" w:eastAsia="Calibri" w:hAnsi="Arial" w:cs="Arial"/>
          <w:sz w:val="24"/>
          <w:szCs w:val="24"/>
        </w:rPr>
        <w:t xml:space="preserve">nine WRES indicators </w:t>
      </w:r>
      <w:r w:rsidR="00C2743D" w:rsidRPr="00E774A6">
        <w:rPr>
          <w:rFonts w:ascii="Arial" w:eastAsia="Calibri" w:hAnsi="Arial" w:cs="Arial"/>
          <w:sz w:val="24"/>
          <w:szCs w:val="24"/>
        </w:rPr>
        <w:t xml:space="preserve">(Appendix </w:t>
      </w:r>
      <w:r w:rsidR="00CF01D8">
        <w:rPr>
          <w:rFonts w:ascii="Arial" w:eastAsia="Calibri" w:hAnsi="Arial" w:cs="Arial"/>
          <w:sz w:val="24"/>
          <w:szCs w:val="24"/>
        </w:rPr>
        <w:t>1</w:t>
      </w:r>
      <w:r w:rsidR="00C2743D" w:rsidRPr="00E774A6">
        <w:rPr>
          <w:rFonts w:ascii="Arial" w:eastAsia="Calibri" w:hAnsi="Arial" w:cs="Arial"/>
          <w:sz w:val="24"/>
          <w:szCs w:val="24"/>
        </w:rPr>
        <w:t>) that</w:t>
      </w:r>
      <w:r w:rsidR="002B7229" w:rsidRPr="00E774A6">
        <w:rPr>
          <w:rFonts w:ascii="Arial" w:eastAsia="Calibri" w:hAnsi="Arial" w:cs="Arial"/>
          <w:sz w:val="24"/>
          <w:szCs w:val="24"/>
        </w:rPr>
        <w:t xml:space="preserve"> NHS organisations report against on an annual basis </w:t>
      </w:r>
      <w:r w:rsidR="00C2743D" w:rsidRPr="00E774A6">
        <w:rPr>
          <w:rFonts w:ascii="Arial" w:eastAsia="Calibri" w:hAnsi="Arial" w:cs="Arial"/>
          <w:sz w:val="24"/>
          <w:szCs w:val="24"/>
        </w:rPr>
        <w:t xml:space="preserve">are </w:t>
      </w:r>
      <w:r w:rsidR="002B7229" w:rsidRPr="00E774A6">
        <w:rPr>
          <w:rFonts w:ascii="Arial" w:eastAsia="Calibri" w:hAnsi="Arial" w:cs="Arial"/>
          <w:sz w:val="24"/>
          <w:szCs w:val="24"/>
        </w:rPr>
        <w:t xml:space="preserve">based on existing data sources </w:t>
      </w:r>
      <w:r w:rsidR="00C2743D" w:rsidRPr="00E774A6">
        <w:rPr>
          <w:rFonts w:ascii="Arial" w:eastAsia="Calibri" w:hAnsi="Arial" w:cs="Arial"/>
          <w:sz w:val="24"/>
          <w:szCs w:val="24"/>
        </w:rPr>
        <w:t xml:space="preserve">which include </w:t>
      </w:r>
      <w:r w:rsidR="002B7229" w:rsidRPr="00E774A6">
        <w:rPr>
          <w:rFonts w:ascii="Arial" w:eastAsia="Calibri" w:hAnsi="Arial" w:cs="Arial"/>
          <w:sz w:val="24"/>
          <w:szCs w:val="24"/>
        </w:rPr>
        <w:t>Electronic Staff Records (ESR) and NHS Staff Survey results</w:t>
      </w:r>
      <w:r w:rsidR="00CC0A81" w:rsidRPr="00E774A6">
        <w:rPr>
          <w:rFonts w:ascii="Arial" w:eastAsia="Calibri" w:hAnsi="Arial" w:cs="Arial"/>
          <w:sz w:val="24"/>
          <w:szCs w:val="24"/>
        </w:rPr>
        <w:t>.</w:t>
      </w:r>
      <w:r w:rsidR="00E774A6">
        <w:rPr>
          <w:rFonts w:ascii="Arial" w:eastAsia="Calibri" w:hAnsi="Arial" w:cs="Arial"/>
          <w:sz w:val="24"/>
          <w:szCs w:val="24"/>
        </w:rPr>
        <w:t xml:space="preserve"> </w:t>
      </w:r>
      <w:r w:rsidR="00E30FA2" w:rsidRPr="00E774A6">
        <w:rPr>
          <w:rFonts w:ascii="Arial" w:hAnsi="Arial" w:cs="Arial"/>
          <w:sz w:val="24"/>
          <w:szCs w:val="24"/>
        </w:rPr>
        <w:t>Caution must be taken when looking at the data due to the small number of staff employed by the ICB. When publishing the data, we will ensure that no one can be identified.</w:t>
      </w:r>
    </w:p>
    <w:p w14:paraId="2811AF5C" w14:textId="77777777" w:rsidR="00FB6CC5" w:rsidRDefault="00FB6CC5" w:rsidP="0014483D">
      <w:pPr>
        <w:spacing w:after="0" w:line="240" w:lineRule="auto"/>
        <w:ind w:left="360" w:right="305"/>
        <w:rPr>
          <w:rFonts w:ascii="Arial" w:hAnsi="Arial" w:cs="Arial"/>
          <w:b/>
          <w:bCs/>
          <w:sz w:val="24"/>
          <w:szCs w:val="24"/>
        </w:rPr>
      </w:pPr>
    </w:p>
    <w:p w14:paraId="1A506545" w14:textId="2A7D6829" w:rsidR="0014483D" w:rsidRPr="009F2DE9" w:rsidRDefault="0014483D" w:rsidP="0014483D">
      <w:pPr>
        <w:spacing w:after="0" w:line="240" w:lineRule="auto"/>
        <w:ind w:left="360" w:right="305"/>
        <w:rPr>
          <w:rFonts w:ascii="Arial" w:hAnsi="Arial" w:cs="Arial"/>
          <w:b/>
          <w:bCs/>
          <w:sz w:val="24"/>
          <w:szCs w:val="24"/>
        </w:rPr>
      </w:pPr>
      <w:r w:rsidRPr="009F2DE9">
        <w:rPr>
          <w:rFonts w:ascii="Arial" w:hAnsi="Arial" w:cs="Arial"/>
          <w:b/>
          <w:bCs/>
          <w:sz w:val="24"/>
          <w:szCs w:val="24"/>
        </w:rPr>
        <w:t>Analysis of WRES (based on LLR ICB combined data for the reporting period 1</w:t>
      </w:r>
      <w:r w:rsidRPr="009F2DE9">
        <w:rPr>
          <w:rFonts w:ascii="Arial" w:hAnsi="Arial" w:cs="Arial"/>
          <w:b/>
          <w:bCs/>
          <w:sz w:val="24"/>
          <w:szCs w:val="24"/>
          <w:vertAlign w:val="superscript"/>
        </w:rPr>
        <w:t>st</w:t>
      </w:r>
      <w:r w:rsidRPr="009F2DE9">
        <w:rPr>
          <w:rFonts w:ascii="Arial" w:hAnsi="Arial" w:cs="Arial"/>
          <w:b/>
          <w:bCs/>
          <w:sz w:val="24"/>
          <w:szCs w:val="24"/>
        </w:rPr>
        <w:t xml:space="preserve"> July 2022 – 31</w:t>
      </w:r>
      <w:r w:rsidRPr="009F2DE9">
        <w:rPr>
          <w:rFonts w:ascii="Arial" w:hAnsi="Arial" w:cs="Arial"/>
          <w:b/>
          <w:bCs/>
          <w:sz w:val="24"/>
          <w:szCs w:val="24"/>
          <w:vertAlign w:val="superscript"/>
        </w:rPr>
        <w:t>st</w:t>
      </w:r>
      <w:r w:rsidRPr="009F2DE9">
        <w:rPr>
          <w:rFonts w:ascii="Arial" w:hAnsi="Arial" w:cs="Arial"/>
          <w:b/>
          <w:bCs/>
          <w:sz w:val="24"/>
          <w:szCs w:val="24"/>
        </w:rPr>
        <w:t xml:space="preserve"> March 2023)</w:t>
      </w:r>
    </w:p>
    <w:p w14:paraId="20504042" w14:textId="77777777" w:rsidR="00620C25" w:rsidRDefault="00620C25" w:rsidP="00C31DFF">
      <w:pPr>
        <w:spacing w:after="0" w:line="240" w:lineRule="auto"/>
        <w:rPr>
          <w:rFonts w:ascii="Arial" w:eastAsia="Times New Roman" w:hAnsi="Arial" w:cs="Arial"/>
          <w:b/>
          <w:sz w:val="24"/>
          <w:szCs w:val="24"/>
          <w:lang w:eastAsia="en-GB"/>
        </w:rPr>
      </w:pPr>
    </w:p>
    <w:p w14:paraId="21CEB9D2" w14:textId="2E734FB0" w:rsidR="00C31DFF" w:rsidRPr="009F2DE9" w:rsidRDefault="00620C25" w:rsidP="00620C25">
      <w:pPr>
        <w:spacing w:after="0" w:line="240" w:lineRule="auto"/>
        <w:ind w:firstLine="360"/>
        <w:rPr>
          <w:rFonts w:ascii="Arial" w:eastAsia="Times New Roman" w:hAnsi="Arial" w:cs="Arial"/>
          <w:sz w:val="24"/>
          <w:szCs w:val="24"/>
          <w:lang w:eastAsia="en-GB"/>
        </w:rPr>
      </w:pPr>
      <w:r w:rsidRPr="009F2DE9">
        <w:rPr>
          <w:rFonts w:ascii="Arial" w:eastAsia="Times New Roman" w:hAnsi="Arial" w:cs="Arial"/>
          <w:b/>
          <w:sz w:val="24"/>
          <w:szCs w:val="24"/>
          <w:lang w:eastAsia="en-GB"/>
        </w:rPr>
        <w:t>WRES 2022/23 – Key Findings</w:t>
      </w:r>
      <w:r w:rsidR="003F5CFE">
        <w:rPr>
          <w:rFonts w:ascii="Arial" w:eastAsia="Times New Roman" w:hAnsi="Arial" w:cs="Arial"/>
          <w:b/>
          <w:sz w:val="24"/>
          <w:szCs w:val="24"/>
          <w:lang w:eastAsia="en-GB"/>
        </w:rPr>
        <w:t xml:space="preserve"> </w:t>
      </w:r>
    </w:p>
    <w:p w14:paraId="538A60EA" w14:textId="77777777" w:rsidR="00960BD2" w:rsidRPr="009F2DE9" w:rsidRDefault="00960BD2" w:rsidP="00960BD2">
      <w:pPr>
        <w:spacing w:after="0" w:line="240" w:lineRule="auto"/>
        <w:rPr>
          <w:rFonts w:ascii="Arial" w:eastAsia="Calibri" w:hAnsi="Arial" w:cs="Arial"/>
          <w:sz w:val="24"/>
          <w:szCs w:val="24"/>
        </w:rPr>
      </w:pPr>
    </w:p>
    <w:p w14:paraId="0CBC3E0E" w14:textId="38E12629" w:rsidR="00960BD2" w:rsidRPr="009F2DE9" w:rsidRDefault="00E05329" w:rsidP="0076459F">
      <w:pPr>
        <w:pStyle w:val="ListParagraph"/>
        <w:numPr>
          <w:ilvl w:val="0"/>
          <w:numId w:val="2"/>
        </w:numPr>
        <w:spacing w:after="0" w:line="240" w:lineRule="auto"/>
        <w:rPr>
          <w:rFonts w:ascii="Arial" w:hAnsi="Arial" w:cs="Arial"/>
          <w:sz w:val="24"/>
          <w:szCs w:val="24"/>
        </w:rPr>
      </w:pPr>
      <w:bookmarkStart w:id="4" w:name="_Hlk135835234"/>
      <w:r w:rsidRPr="009F2DE9">
        <w:rPr>
          <w:rFonts w:ascii="Arial" w:hAnsi="Arial" w:cs="Arial"/>
          <w:sz w:val="24"/>
          <w:szCs w:val="24"/>
        </w:rPr>
        <w:t xml:space="preserve">The table below provides an overview of </w:t>
      </w:r>
      <w:r w:rsidR="004767FC" w:rsidRPr="009F2DE9">
        <w:rPr>
          <w:rFonts w:ascii="Arial" w:hAnsi="Arial" w:cs="Arial"/>
          <w:sz w:val="24"/>
          <w:szCs w:val="24"/>
        </w:rPr>
        <w:t>the</w:t>
      </w:r>
      <w:r w:rsidR="0014483D" w:rsidRPr="009F2DE9">
        <w:rPr>
          <w:rFonts w:ascii="Arial" w:hAnsi="Arial" w:cs="Arial"/>
          <w:sz w:val="24"/>
          <w:szCs w:val="24"/>
        </w:rPr>
        <w:t xml:space="preserve"> ICBs</w:t>
      </w:r>
      <w:r w:rsidR="00960BD2" w:rsidRPr="009F2DE9">
        <w:rPr>
          <w:rFonts w:ascii="Arial" w:hAnsi="Arial" w:cs="Arial"/>
          <w:sz w:val="24"/>
          <w:szCs w:val="24"/>
        </w:rPr>
        <w:t xml:space="preserve"> </w:t>
      </w:r>
      <w:r w:rsidR="00776DFF" w:rsidRPr="009F2DE9">
        <w:rPr>
          <w:rFonts w:ascii="Arial" w:hAnsi="Arial" w:cs="Arial"/>
          <w:sz w:val="24"/>
          <w:szCs w:val="24"/>
        </w:rPr>
        <w:t>w</w:t>
      </w:r>
      <w:r w:rsidR="00960BD2" w:rsidRPr="009F2DE9">
        <w:rPr>
          <w:rFonts w:ascii="Arial" w:hAnsi="Arial" w:cs="Arial"/>
          <w:sz w:val="24"/>
          <w:szCs w:val="24"/>
        </w:rPr>
        <w:t>orkforce</w:t>
      </w:r>
      <w:r w:rsidRPr="009F2DE9">
        <w:rPr>
          <w:rFonts w:ascii="Arial" w:hAnsi="Arial" w:cs="Arial"/>
          <w:sz w:val="24"/>
          <w:szCs w:val="24"/>
        </w:rPr>
        <w:t xml:space="preserve"> which includes employed and non-employed individuals on the payroll</w:t>
      </w:r>
      <w:r w:rsidR="00C62A4F" w:rsidRPr="009F2DE9">
        <w:rPr>
          <w:rFonts w:ascii="Arial" w:hAnsi="Arial" w:cs="Arial"/>
          <w:sz w:val="24"/>
          <w:szCs w:val="24"/>
        </w:rPr>
        <w:t xml:space="preserve"> </w:t>
      </w:r>
      <w:r w:rsidR="00044402" w:rsidRPr="009F2DE9">
        <w:rPr>
          <w:rFonts w:ascii="Arial" w:hAnsi="Arial" w:cs="Arial"/>
          <w:sz w:val="24"/>
          <w:szCs w:val="24"/>
        </w:rPr>
        <w:t xml:space="preserve">on </w:t>
      </w:r>
      <w:r w:rsidR="00C62A4F" w:rsidRPr="009F2DE9">
        <w:rPr>
          <w:rFonts w:ascii="Arial" w:hAnsi="Arial" w:cs="Arial"/>
          <w:sz w:val="24"/>
          <w:szCs w:val="24"/>
        </w:rPr>
        <w:t>31 March</w:t>
      </w:r>
      <w:r w:rsidR="00044402" w:rsidRPr="009F2DE9">
        <w:rPr>
          <w:rFonts w:ascii="Arial" w:hAnsi="Arial" w:cs="Arial"/>
          <w:sz w:val="24"/>
          <w:szCs w:val="24"/>
        </w:rPr>
        <w:t xml:space="preserve"> 202</w:t>
      </w:r>
      <w:r w:rsidR="00341ABF" w:rsidRPr="009F2DE9">
        <w:rPr>
          <w:rFonts w:ascii="Arial" w:hAnsi="Arial" w:cs="Arial"/>
          <w:sz w:val="24"/>
          <w:szCs w:val="24"/>
        </w:rPr>
        <w:t>3</w:t>
      </w:r>
      <w:r w:rsidRPr="009F2DE9">
        <w:rPr>
          <w:rFonts w:ascii="Arial" w:hAnsi="Arial" w:cs="Arial"/>
          <w:sz w:val="24"/>
          <w:szCs w:val="24"/>
        </w:rPr>
        <w:t>.</w:t>
      </w:r>
    </w:p>
    <w:p w14:paraId="6DE831EE" w14:textId="77777777" w:rsidR="0012376B" w:rsidRPr="009F2DE9" w:rsidRDefault="0012376B" w:rsidP="0012376B">
      <w:pPr>
        <w:pStyle w:val="ListParagraph"/>
        <w:spacing w:after="0" w:line="240" w:lineRule="auto"/>
        <w:ind w:left="567"/>
        <w:rPr>
          <w:rFonts w:ascii="Arial" w:hAnsi="Arial" w:cs="Arial"/>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949"/>
        <w:gridCol w:w="1993"/>
      </w:tblGrid>
      <w:tr w:rsidR="00341ABF" w:rsidRPr="009F2DE9" w14:paraId="2A91259C" w14:textId="77777777" w:rsidTr="00341ABF">
        <w:trPr>
          <w:jc w:val="center"/>
        </w:trPr>
        <w:tc>
          <w:tcPr>
            <w:tcW w:w="5949" w:type="dxa"/>
            <w:shd w:val="clear" w:color="auto" w:fill="C6D9F1" w:themeFill="text2" w:themeFillTint="33"/>
          </w:tcPr>
          <w:p w14:paraId="1804450E" w14:textId="77777777" w:rsidR="00341ABF" w:rsidRPr="009F2DE9" w:rsidRDefault="00341ABF" w:rsidP="00CD2E09">
            <w:pPr>
              <w:rPr>
                <w:rFonts w:ascii="Arial" w:hAnsi="Arial" w:cs="Arial"/>
                <w:b/>
                <w:bCs/>
                <w:sz w:val="24"/>
                <w:szCs w:val="24"/>
              </w:rPr>
            </w:pPr>
          </w:p>
        </w:tc>
        <w:tc>
          <w:tcPr>
            <w:tcW w:w="1993" w:type="dxa"/>
            <w:shd w:val="clear" w:color="auto" w:fill="C6D9F1" w:themeFill="text2" w:themeFillTint="33"/>
            <w:vAlign w:val="center"/>
          </w:tcPr>
          <w:p w14:paraId="2134F68B" w14:textId="15EDE383" w:rsidR="00341ABF" w:rsidRPr="009F2DE9" w:rsidRDefault="00341ABF" w:rsidP="00CD2E09">
            <w:pPr>
              <w:jc w:val="center"/>
              <w:rPr>
                <w:rFonts w:ascii="Arial" w:hAnsi="Arial" w:cs="Arial"/>
                <w:b/>
                <w:bCs/>
                <w:sz w:val="24"/>
                <w:szCs w:val="24"/>
              </w:rPr>
            </w:pPr>
            <w:r w:rsidRPr="009F2DE9">
              <w:rPr>
                <w:rFonts w:ascii="Arial" w:hAnsi="Arial" w:cs="Arial"/>
                <w:b/>
                <w:bCs/>
                <w:sz w:val="24"/>
                <w:szCs w:val="24"/>
              </w:rPr>
              <w:t>2023</w:t>
            </w:r>
          </w:p>
        </w:tc>
      </w:tr>
      <w:tr w:rsidR="00341ABF" w:rsidRPr="009F2DE9" w14:paraId="6EBB1AEC" w14:textId="77777777" w:rsidTr="00E136AF">
        <w:trPr>
          <w:jc w:val="center"/>
        </w:trPr>
        <w:tc>
          <w:tcPr>
            <w:tcW w:w="5949" w:type="dxa"/>
            <w:vAlign w:val="center"/>
          </w:tcPr>
          <w:p w14:paraId="1D5C8BE5" w14:textId="7B2BC5F5" w:rsidR="00341ABF" w:rsidRPr="009F2DE9" w:rsidRDefault="00341ABF" w:rsidP="00CD2E09">
            <w:pPr>
              <w:rPr>
                <w:rFonts w:ascii="Arial" w:hAnsi="Arial" w:cs="Arial"/>
                <w:sz w:val="24"/>
                <w:szCs w:val="24"/>
              </w:rPr>
            </w:pPr>
            <w:r w:rsidRPr="009F2DE9">
              <w:rPr>
                <w:rFonts w:ascii="Arial" w:hAnsi="Arial" w:cs="Arial"/>
                <w:sz w:val="24"/>
                <w:szCs w:val="24"/>
              </w:rPr>
              <w:t xml:space="preserve">LLR ICBs’ area </w:t>
            </w:r>
            <w:r w:rsidR="00147FC3">
              <w:rPr>
                <w:rFonts w:ascii="Arial" w:hAnsi="Arial" w:cs="Arial"/>
                <w:sz w:val="24"/>
                <w:szCs w:val="24"/>
              </w:rPr>
              <w:t>BME</w:t>
            </w:r>
            <w:r w:rsidRPr="009F2DE9">
              <w:rPr>
                <w:rFonts w:ascii="Arial" w:hAnsi="Arial" w:cs="Arial"/>
                <w:sz w:val="24"/>
                <w:szCs w:val="24"/>
              </w:rPr>
              <w:t xml:space="preserve"> population*</w:t>
            </w:r>
          </w:p>
        </w:tc>
        <w:tc>
          <w:tcPr>
            <w:tcW w:w="1993" w:type="dxa"/>
            <w:shd w:val="clear" w:color="auto" w:fill="auto"/>
            <w:vAlign w:val="center"/>
          </w:tcPr>
          <w:p w14:paraId="0BE15FDF" w14:textId="0B53AA7E" w:rsidR="00341ABF" w:rsidRPr="009F2DE9" w:rsidRDefault="00EE2860" w:rsidP="00CD2E09">
            <w:pPr>
              <w:jc w:val="center"/>
              <w:rPr>
                <w:rFonts w:ascii="Arial" w:hAnsi="Arial" w:cs="Arial"/>
                <w:sz w:val="24"/>
                <w:szCs w:val="24"/>
              </w:rPr>
            </w:pPr>
            <w:r>
              <w:rPr>
                <w:rFonts w:ascii="Arial" w:hAnsi="Arial" w:cs="Arial"/>
                <w:sz w:val="24"/>
                <w:szCs w:val="24"/>
              </w:rPr>
              <w:t>27.5%</w:t>
            </w:r>
          </w:p>
        </w:tc>
      </w:tr>
      <w:tr w:rsidR="00341ABF" w:rsidRPr="009F2DE9" w14:paraId="24273E5F" w14:textId="77777777" w:rsidTr="00341ABF">
        <w:trPr>
          <w:jc w:val="center"/>
        </w:trPr>
        <w:tc>
          <w:tcPr>
            <w:tcW w:w="5949" w:type="dxa"/>
            <w:vAlign w:val="center"/>
          </w:tcPr>
          <w:p w14:paraId="1B04C30D" w14:textId="345F50E2" w:rsidR="00341ABF" w:rsidRPr="009F2DE9" w:rsidRDefault="00341ABF" w:rsidP="00CD2E09">
            <w:pPr>
              <w:rPr>
                <w:rFonts w:ascii="Arial" w:hAnsi="Arial" w:cs="Arial"/>
                <w:sz w:val="24"/>
                <w:szCs w:val="24"/>
              </w:rPr>
            </w:pPr>
            <w:r w:rsidRPr="009F2DE9">
              <w:rPr>
                <w:rFonts w:ascii="Arial" w:hAnsi="Arial" w:cs="Arial"/>
                <w:sz w:val="24"/>
                <w:szCs w:val="24"/>
              </w:rPr>
              <w:t>Number of staff employed within the organisation</w:t>
            </w:r>
          </w:p>
        </w:tc>
        <w:tc>
          <w:tcPr>
            <w:tcW w:w="1993" w:type="dxa"/>
            <w:vAlign w:val="center"/>
          </w:tcPr>
          <w:p w14:paraId="56E3BAFD" w14:textId="1A0AE05C" w:rsidR="00341ABF" w:rsidRPr="009F2DE9" w:rsidRDefault="00341ABF" w:rsidP="00CD2E09">
            <w:pPr>
              <w:jc w:val="center"/>
              <w:rPr>
                <w:rFonts w:ascii="Arial" w:hAnsi="Arial" w:cs="Arial"/>
                <w:sz w:val="24"/>
                <w:szCs w:val="24"/>
              </w:rPr>
            </w:pPr>
            <w:r w:rsidRPr="009F2DE9">
              <w:rPr>
                <w:rFonts w:ascii="Arial" w:hAnsi="Arial" w:cs="Arial"/>
                <w:sz w:val="24"/>
                <w:szCs w:val="24"/>
              </w:rPr>
              <w:t>3</w:t>
            </w:r>
            <w:r w:rsidR="007A142E" w:rsidRPr="009F2DE9">
              <w:rPr>
                <w:rFonts w:ascii="Arial" w:hAnsi="Arial" w:cs="Arial"/>
                <w:sz w:val="24"/>
                <w:szCs w:val="24"/>
              </w:rPr>
              <w:t>39</w:t>
            </w:r>
          </w:p>
        </w:tc>
      </w:tr>
      <w:tr w:rsidR="00341ABF" w:rsidRPr="009F2DE9" w14:paraId="0EEDE0E5" w14:textId="77777777" w:rsidTr="00E136AF">
        <w:trPr>
          <w:jc w:val="center"/>
        </w:trPr>
        <w:tc>
          <w:tcPr>
            <w:tcW w:w="5949" w:type="dxa"/>
            <w:vAlign w:val="center"/>
          </w:tcPr>
          <w:p w14:paraId="6FC55CCC" w14:textId="5D1FF661" w:rsidR="00341ABF" w:rsidRPr="009F2DE9" w:rsidRDefault="00341ABF" w:rsidP="0012376B">
            <w:pPr>
              <w:rPr>
                <w:rFonts w:ascii="Arial" w:hAnsi="Arial" w:cs="Arial"/>
                <w:sz w:val="24"/>
                <w:szCs w:val="24"/>
              </w:rPr>
            </w:pPr>
            <w:r w:rsidRPr="009F2DE9">
              <w:rPr>
                <w:rFonts w:ascii="Arial" w:hAnsi="Arial" w:cs="Arial"/>
                <w:sz w:val="24"/>
                <w:szCs w:val="24"/>
              </w:rPr>
              <w:t xml:space="preserve">Proportion of </w:t>
            </w:r>
            <w:r w:rsidR="00147FC3">
              <w:rPr>
                <w:rFonts w:ascii="Arial" w:hAnsi="Arial" w:cs="Arial"/>
                <w:sz w:val="24"/>
                <w:szCs w:val="24"/>
              </w:rPr>
              <w:t>BME</w:t>
            </w:r>
            <w:r w:rsidRPr="009F2DE9">
              <w:rPr>
                <w:rFonts w:ascii="Arial" w:hAnsi="Arial" w:cs="Arial"/>
                <w:sz w:val="24"/>
                <w:szCs w:val="24"/>
              </w:rPr>
              <w:t xml:space="preserve"> staff</w:t>
            </w:r>
          </w:p>
          <w:p w14:paraId="109099A8" w14:textId="290995D2" w:rsidR="00341ABF" w:rsidRPr="009F2DE9" w:rsidRDefault="00341ABF" w:rsidP="0012376B">
            <w:pPr>
              <w:rPr>
                <w:rFonts w:ascii="Arial" w:hAnsi="Arial" w:cs="Arial"/>
                <w:sz w:val="24"/>
                <w:szCs w:val="24"/>
              </w:rPr>
            </w:pPr>
          </w:p>
        </w:tc>
        <w:tc>
          <w:tcPr>
            <w:tcW w:w="1993" w:type="dxa"/>
            <w:shd w:val="clear" w:color="auto" w:fill="92D050"/>
            <w:vAlign w:val="center"/>
          </w:tcPr>
          <w:p w14:paraId="020CDD7A" w14:textId="3EBF6D8A" w:rsidR="00341ABF" w:rsidRPr="009F2DE9" w:rsidRDefault="00341ABF" w:rsidP="00CD2E09">
            <w:pPr>
              <w:jc w:val="center"/>
              <w:rPr>
                <w:rFonts w:ascii="Arial" w:hAnsi="Arial" w:cs="Arial"/>
                <w:sz w:val="24"/>
                <w:szCs w:val="24"/>
              </w:rPr>
            </w:pPr>
            <w:r w:rsidRPr="009F2DE9">
              <w:rPr>
                <w:rFonts w:ascii="Arial" w:hAnsi="Arial" w:cs="Arial"/>
                <w:sz w:val="24"/>
                <w:szCs w:val="24"/>
              </w:rPr>
              <w:t>3</w:t>
            </w:r>
            <w:r w:rsidR="007A142E" w:rsidRPr="009F2DE9">
              <w:rPr>
                <w:rFonts w:ascii="Arial" w:hAnsi="Arial" w:cs="Arial"/>
                <w:sz w:val="24"/>
                <w:szCs w:val="24"/>
              </w:rPr>
              <w:t>1.</w:t>
            </w:r>
            <w:r w:rsidR="002421D8" w:rsidRPr="009F2DE9">
              <w:rPr>
                <w:rFonts w:ascii="Arial" w:hAnsi="Arial" w:cs="Arial"/>
                <w:sz w:val="24"/>
                <w:szCs w:val="24"/>
              </w:rPr>
              <w:t xml:space="preserve">6 </w:t>
            </w:r>
            <w:r w:rsidRPr="009F2DE9">
              <w:rPr>
                <w:rFonts w:ascii="Arial" w:hAnsi="Arial" w:cs="Arial"/>
                <w:sz w:val="24"/>
                <w:szCs w:val="24"/>
              </w:rPr>
              <w:t>%</w:t>
            </w:r>
          </w:p>
        </w:tc>
      </w:tr>
      <w:tr w:rsidR="00341ABF" w:rsidRPr="009F2DE9" w14:paraId="0EEA81A9" w14:textId="77777777" w:rsidTr="00341ABF">
        <w:trPr>
          <w:jc w:val="center"/>
        </w:trPr>
        <w:tc>
          <w:tcPr>
            <w:tcW w:w="5949" w:type="dxa"/>
            <w:vAlign w:val="center"/>
          </w:tcPr>
          <w:p w14:paraId="56D97AB2" w14:textId="77777777" w:rsidR="00341ABF" w:rsidRPr="009F2DE9" w:rsidRDefault="00341ABF" w:rsidP="00CD2E09">
            <w:pPr>
              <w:rPr>
                <w:rFonts w:ascii="Arial" w:hAnsi="Arial" w:cs="Arial"/>
                <w:sz w:val="24"/>
                <w:szCs w:val="24"/>
              </w:rPr>
            </w:pPr>
            <w:r w:rsidRPr="009F2DE9">
              <w:rPr>
                <w:rFonts w:ascii="Arial" w:hAnsi="Arial" w:cs="Arial"/>
                <w:sz w:val="24"/>
                <w:szCs w:val="24"/>
              </w:rPr>
              <w:t>Proportion of staff self-reporting their ethnicity</w:t>
            </w:r>
          </w:p>
        </w:tc>
        <w:tc>
          <w:tcPr>
            <w:tcW w:w="1993" w:type="dxa"/>
            <w:shd w:val="clear" w:color="auto" w:fill="auto"/>
            <w:vAlign w:val="center"/>
          </w:tcPr>
          <w:p w14:paraId="1D4971FE" w14:textId="22DF8F23" w:rsidR="00341ABF" w:rsidRPr="009F2DE9" w:rsidRDefault="007A142E" w:rsidP="00CD2E09">
            <w:pPr>
              <w:jc w:val="center"/>
              <w:rPr>
                <w:rFonts w:ascii="Arial" w:hAnsi="Arial" w:cs="Arial"/>
                <w:sz w:val="24"/>
                <w:szCs w:val="24"/>
              </w:rPr>
            </w:pPr>
            <w:r w:rsidRPr="009F2DE9">
              <w:rPr>
                <w:rFonts w:ascii="Arial" w:hAnsi="Arial" w:cs="Arial"/>
                <w:sz w:val="24"/>
                <w:szCs w:val="24"/>
              </w:rPr>
              <w:t>89.3</w:t>
            </w:r>
            <w:r w:rsidR="00341ABF" w:rsidRPr="009F2DE9">
              <w:rPr>
                <w:rFonts w:ascii="Arial" w:hAnsi="Arial" w:cs="Arial"/>
                <w:sz w:val="24"/>
                <w:szCs w:val="24"/>
              </w:rPr>
              <w:t>%</w:t>
            </w:r>
          </w:p>
        </w:tc>
      </w:tr>
    </w:tbl>
    <w:p w14:paraId="5BEA6CF3" w14:textId="7FA2CAA6" w:rsidR="00960BD2" w:rsidRPr="009F2DE9" w:rsidRDefault="0012376B" w:rsidP="0012376B">
      <w:pPr>
        <w:spacing w:after="0" w:line="240" w:lineRule="auto"/>
        <w:rPr>
          <w:rFonts w:ascii="Arial" w:hAnsi="Arial" w:cs="Arial"/>
          <w:sz w:val="24"/>
          <w:szCs w:val="24"/>
        </w:rPr>
      </w:pPr>
      <w:r w:rsidRPr="009F2DE9">
        <w:rPr>
          <w:rFonts w:ascii="Arial" w:hAnsi="Arial" w:cs="Arial"/>
          <w:sz w:val="24"/>
          <w:szCs w:val="24"/>
        </w:rPr>
        <w:t xml:space="preserve">       </w:t>
      </w:r>
      <w:r w:rsidR="00960BD2" w:rsidRPr="009F2DE9">
        <w:rPr>
          <w:rFonts w:ascii="Arial" w:hAnsi="Arial" w:cs="Arial"/>
          <w:sz w:val="24"/>
          <w:szCs w:val="24"/>
        </w:rPr>
        <w:t xml:space="preserve">* </w:t>
      </w:r>
      <w:r w:rsidR="00341ABF" w:rsidRPr="009F2DE9">
        <w:rPr>
          <w:rFonts w:ascii="Arial" w:hAnsi="Arial" w:cs="Arial"/>
          <w:sz w:val="24"/>
          <w:szCs w:val="24"/>
        </w:rPr>
        <w:t>ICB</w:t>
      </w:r>
      <w:r w:rsidR="00960BD2" w:rsidRPr="009F2DE9">
        <w:rPr>
          <w:rFonts w:ascii="Arial" w:hAnsi="Arial" w:cs="Arial"/>
          <w:sz w:val="24"/>
          <w:szCs w:val="24"/>
        </w:rPr>
        <w:t xml:space="preserve"> area BME population data taken from 20</w:t>
      </w:r>
      <w:r w:rsidR="00000987" w:rsidRPr="009F2DE9">
        <w:rPr>
          <w:rFonts w:ascii="Arial" w:hAnsi="Arial" w:cs="Arial"/>
          <w:sz w:val="24"/>
          <w:szCs w:val="24"/>
        </w:rPr>
        <w:t>2</w:t>
      </w:r>
      <w:r w:rsidR="00960BD2" w:rsidRPr="009F2DE9">
        <w:rPr>
          <w:rFonts w:ascii="Arial" w:hAnsi="Arial" w:cs="Arial"/>
          <w:sz w:val="24"/>
          <w:szCs w:val="24"/>
        </w:rPr>
        <w:t>1 Census</w:t>
      </w:r>
    </w:p>
    <w:bookmarkEnd w:id="4"/>
    <w:p w14:paraId="659A0C14" w14:textId="77777777" w:rsidR="00154249" w:rsidRPr="009F2DE9" w:rsidRDefault="00154249" w:rsidP="00154249">
      <w:pPr>
        <w:spacing w:after="0" w:line="240" w:lineRule="auto"/>
        <w:rPr>
          <w:rFonts w:ascii="Arial" w:hAnsi="Arial" w:cs="Arial"/>
          <w:b/>
          <w:bCs/>
          <w:sz w:val="24"/>
          <w:szCs w:val="24"/>
        </w:rPr>
      </w:pPr>
    </w:p>
    <w:p w14:paraId="1567EDD8" w14:textId="77777777" w:rsidR="00D550C6" w:rsidRDefault="00CC0A81" w:rsidP="00E86EBC">
      <w:pPr>
        <w:spacing w:after="0" w:line="240" w:lineRule="auto"/>
        <w:ind w:left="720"/>
        <w:rPr>
          <w:rFonts w:ascii="Arial" w:hAnsi="Arial" w:cs="Arial"/>
          <w:sz w:val="24"/>
          <w:szCs w:val="24"/>
        </w:rPr>
      </w:pPr>
      <w:r w:rsidRPr="009F2DE9">
        <w:rPr>
          <w:rFonts w:ascii="Arial" w:hAnsi="Arial" w:cs="Arial"/>
          <w:b/>
          <w:bCs/>
          <w:sz w:val="24"/>
          <w:szCs w:val="24"/>
        </w:rPr>
        <w:t>Analysis:</w:t>
      </w:r>
      <w:r w:rsidRPr="009F2DE9">
        <w:rPr>
          <w:rFonts w:ascii="Arial" w:hAnsi="Arial" w:cs="Arial"/>
          <w:sz w:val="24"/>
          <w:szCs w:val="24"/>
        </w:rPr>
        <w:t xml:space="preserve"> </w:t>
      </w:r>
    </w:p>
    <w:p w14:paraId="0718728C" w14:textId="77777777" w:rsidR="00D550C6" w:rsidRDefault="00D550C6" w:rsidP="00E86EBC">
      <w:pPr>
        <w:spacing w:after="0" w:line="240" w:lineRule="auto"/>
        <w:ind w:left="720"/>
        <w:rPr>
          <w:rFonts w:ascii="Arial" w:hAnsi="Arial" w:cs="Arial"/>
          <w:sz w:val="24"/>
          <w:szCs w:val="24"/>
        </w:rPr>
      </w:pPr>
    </w:p>
    <w:p w14:paraId="6D863B02" w14:textId="698F5726" w:rsidR="00CC0A81" w:rsidRPr="00D550C6" w:rsidRDefault="00CC0A81">
      <w:pPr>
        <w:pStyle w:val="ListParagraph"/>
        <w:numPr>
          <w:ilvl w:val="0"/>
          <w:numId w:val="7"/>
        </w:numPr>
        <w:spacing w:after="0" w:line="240" w:lineRule="auto"/>
        <w:rPr>
          <w:rFonts w:ascii="Arial" w:hAnsi="Arial" w:cs="Arial"/>
          <w:sz w:val="24"/>
          <w:szCs w:val="24"/>
        </w:rPr>
      </w:pPr>
      <w:r w:rsidRPr="00D550C6">
        <w:rPr>
          <w:rFonts w:ascii="Arial" w:hAnsi="Arial" w:cs="Arial"/>
          <w:sz w:val="24"/>
          <w:szCs w:val="24"/>
        </w:rPr>
        <w:t xml:space="preserve">The data demonstrates that the </w:t>
      </w:r>
      <w:r w:rsidR="00147FC3">
        <w:rPr>
          <w:rFonts w:ascii="Arial" w:hAnsi="Arial" w:cs="Arial"/>
          <w:sz w:val="24"/>
          <w:szCs w:val="24"/>
        </w:rPr>
        <w:t>BME</w:t>
      </w:r>
      <w:r w:rsidRPr="00D550C6">
        <w:rPr>
          <w:rFonts w:ascii="Arial" w:hAnsi="Arial" w:cs="Arial"/>
          <w:sz w:val="24"/>
          <w:szCs w:val="24"/>
        </w:rPr>
        <w:t xml:space="preserve"> workforce at the ICB is more than representative of the </w:t>
      </w:r>
      <w:r w:rsidR="00147FC3">
        <w:rPr>
          <w:rFonts w:ascii="Arial" w:hAnsi="Arial" w:cs="Arial"/>
          <w:sz w:val="24"/>
          <w:szCs w:val="24"/>
        </w:rPr>
        <w:t>BME</w:t>
      </w:r>
      <w:r w:rsidRPr="00D550C6">
        <w:rPr>
          <w:rFonts w:ascii="Arial" w:hAnsi="Arial" w:cs="Arial"/>
          <w:sz w:val="24"/>
          <w:szCs w:val="24"/>
        </w:rPr>
        <w:t xml:space="preserve"> population across LLR population by</w:t>
      </w:r>
      <w:r w:rsidR="00943F0A" w:rsidRPr="00D550C6">
        <w:rPr>
          <w:rFonts w:ascii="Arial" w:hAnsi="Arial" w:cs="Arial"/>
          <w:sz w:val="24"/>
          <w:szCs w:val="24"/>
        </w:rPr>
        <w:t xml:space="preserve"> </w:t>
      </w:r>
      <w:r w:rsidR="00EE2860">
        <w:rPr>
          <w:rFonts w:ascii="Arial" w:hAnsi="Arial" w:cs="Arial"/>
          <w:sz w:val="24"/>
          <w:szCs w:val="24"/>
        </w:rPr>
        <w:t>4.1%</w:t>
      </w:r>
    </w:p>
    <w:p w14:paraId="33CAC467" w14:textId="61CE407E" w:rsidR="00943F0A" w:rsidRPr="00D550C6" w:rsidRDefault="00E136CE">
      <w:pPr>
        <w:pStyle w:val="ListParagraph"/>
        <w:numPr>
          <w:ilvl w:val="0"/>
          <w:numId w:val="7"/>
        </w:numPr>
        <w:spacing w:after="0" w:line="240" w:lineRule="auto"/>
        <w:rPr>
          <w:rFonts w:ascii="Arial" w:hAnsi="Arial" w:cs="Arial"/>
          <w:sz w:val="24"/>
          <w:szCs w:val="24"/>
        </w:rPr>
      </w:pPr>
      <w:r w:rsidRPr="00D550C6">
        <w:rPr>
          <w:rFonts w:ascii="Arial" w:hAnsi="Arial" w:cs="Arial"/>
          <w:sz w:val="24"/>
          <w:szCs w:val="24"/>
        </w:rPr>
        <w:t>The number of staff self-reporting</w:t>
      </w:r>
      <w:r w:rsidR="00943F0A" w:rsidRPr="00D550C6">
        <w:rPr>
          <w:rFonts w:ascii="Arial" w:hAnsi="Arial" w:cs="Arial"/>
          <w:sz w:val="24"/>
          <w:szCs w:val="24"/>
        </w:rPr>
        <w:t xml:space="preserve"> </w:t>
      </w:r>
      <w:r w:rsidRPr="00D550C6">
        <w:rPr>
          <w:rFonts w:ascii="Arial" w:hAnsi="Arial" w:cs="Arial"/>
          <w:sz w:val="24"/>
          <w:szCs w:val="24"/>
        </w:rPr>
        <w:t xml:space="preserve">their </w:t>
      </w:r>
      <w:r w:rsidR="00943F0A" w:rsidRPr="00D550C6">
        <w:rPr>
          <w:rFonts w:ascii="Arial" w:hAnsi="Arial" w:cs="Arial"/>
          <w:sz w:val="24"/>
          <w:szCs w:val="24"/>
        </w:rPr>
        <w:t>ethnicity is 89.</w:t>
      </w:r>
      <w:r w:rsidRPr="00D550C6">
        <w:rPr>
          <w:rFonts w:ascii="Arial" w:hAnsi="Arial" w:cs="Arial"/>
          <w:sz w:val="24"/>
          <w:szCs w:val="24"/>
        </w:rPr>
        <w:t>3</w:t>
      </w:r>
      <w:r w:rsidR="00943F0A" w:rsidRPr="00D550C6">
        <w:rPr>
          <w:rFonts w:ascii="Arial" w:hAnsi="Arial" w:cs="Arial"/>
          <w:sz w:val="24"/>
          <w:szCs w:val="24"/>
        </w:rPr>
        <w:t>%</w:t>
      </w:r>
    </w:p>
    <w:p w14:paraId="6B81C27E" w14:textId="77777777" w:rsidR="00CC0A81" w:rsidRDefault="00CC0A81" w:rsidP="001D18C0">
      <w:pPr>
        <w:spacing w:after="0" w:line="240" w:lineRule="auto"/>
        <w:rPr>
          <w:rFonts w:ascii="Arial" w:hAnsi="Arial" w:cs="Arial"/>
          <w:b/>
          <w:bCs/>
          <w:sz w:val="24"/>
          <w:szCs w:val="24"/>
        </w:rPr>
      </w:pPr>
    </w:p>
    <w:p w14:paraId="0453CE69" w14:textId="77777777" w:rsidR="00AC4F3B" w:rsidRDefault="00AC4F3B" w:rsidP="001D18C0">
      <w:pPr>
        <w:spacing w:after="0" w:line="240" w:lineRule="auto"/>
        <w:rPr>
          <w:rFonts w:ascii="Arial" w:hAnsi="Arial" w:cs="Arial"/>
          <w:b/>
          <w:bCs/>
          <w:sz w:val="24"/>
          <w:szCs w:val="24"/>
        </w:rPr>
      </w:pPr>
    </w:p>
    <w:p w14:paraId="24BBAC17" w14:textId="77777777" w:rsidR="00AC4F3B" w:rsidRDefault="00AC4F3B" w:rsidP="001D18C0">
      <w:pPr>
        <w:spacing w:after="0" w:line="240" w:lineRule="auto"/>
        <w:rPr>
          <w:rFonts w:ascii="Arial" w:hAnsi="Arial" w:cs="Arial"/>
          <w:b/>
          <w:bCs/>
          <w:sz w:val="24"/>
          <w:szCs w:val="24"/>
        </w:rPr>
      </w:pPr>
    </w:p>
    <w:p w14:paraId="1122DFEE" w14:textId="77777777" w:rsidR="00AC4F3B" w:rsidRDefault="00AC4F3B" w:rsidP="001D18C0">
      <w:pPr>
        <w:spacing w:after="0" w:line="240" w:lineRule="auto"/>
        <w:rPr>
          <w:rFonts w:ascii="Arial" w:hAnsi="Arial" w:cs="Arial"/>
          <w:b/>
          <w:bCs/>
          <w:sz w:val="24"/>
          <w:szCs w:val="24"/>
        </w:rPr>
      </w:pPr>
    </w:p>
    <w:p w14:paraId="3F3E15B8" w14:textId="77777777" w:rsidR="00AC4F3B" w:rsidRDefault="00AC4F3B" w:rsidP="001D18C0">
      <w:pPr>
        <w:spacing w:after="0" w:line="240" w:lineRule="auto"/>
        <w:rPr>
          <w:rFonts w:ascii="Arial" w:hAnsi="Arial" w:cs="Arial"/>
          <w:b/>
          <w:bCs/>
          <w:sz w:val="24"/>
          <w:szCs w:val="24"/>
        </w:rPr>
      </w:pPr>
    </w:p>
    <w:p w14:paraId="21A2154D" w14:textId="77777777" w:rsidR="00AC4F3B" w:rsidRDefault="00AC4F3B" w:rsidP="001D18C0">
      <w:pPr>
        <w:spacing w:after="0" w:line="240" w:lineRule="auto"/>
        <w:rPr>
          <w:rFonts w:ascii="Arial" w:hAnsi="Arial" w:cs="Arial"/>
          <w:b/>
          <w:bCs/>
          <w:sz w:val="24"/>
          <w:szCs w:val="24"/>
        </w:rPr>
      </w:pPr>
    </w:p>
    <w:p w14:paraId="4D669DC7" w14:textId="77777777" w:rsidR="00AC4F3B" w:rsidRDefault="00AC4F3B" w:rsidP="001D18C0">
      <w:pPr>
        <w:spacing w:after="0" w:line="240" w:lineRule="auto"/>
        <w:rPr>
          <w:rFonts w:ascii="Arial" w:hAnsi="Arial" w:cs="Arial"/>
          <w:b/>
          <w:bCs/>
          <w:sz w:val="24"/>
          <w:szCs w:val="24"/>
        </w:rPr>
      </w:pPr>
    </w:p>
    <w:p w14:paraId="7BED6FFE" w14:textId="77777777" w:rsidR="00AC4F3B" w:rsidRDefault="00AC4F3B" w:rsidP="001D18C0">
      <w:pPr>
        <w:spacing w:after="0" w:line="240" w:lineRule="auto"/>
        <w:rPr>
          <w:rFonts w:ascii="Arial" w:hAnsi="Arial" w:cs="Arial"/>
          <w:b/>
          <w:bCs/>
          <w:sz w:val="24"/>
          <w:szCs w:val="24"/>
        </w:rPr>
      </w:pPr>
    </w:p>
    <w:p w14:paraId="77C4AF96" w14:textId="77777777" w:rsidR="00AC4F3B" w:rsidRDefault="00AC4F3B" w:rsidP="001D18C0">
      <w:pPr>
        <w:spacing w:after="0" w:line="240" w:lineRule="auto"/>
        <w:rPr>
          <w:rFonts w:ascii="Arial" w:hAnsi="Arial" w:cs="Arial"/>
          <w:b/>
          <w:bCs/>
          <w:sz w:val="24"/>
          <w:szCs w:val="24"/>
        </w:rPr>
      </w:pPr>
    </w:p>
    <w:p w14:paraId="0806F72D" w14:textId="77777777" w:rsidR="00AC4F3B" w:rsidRDefault="00AC4F3B" w:rsidP="001D18C0">
      <w:pPr>
        <w:spacing w:after="0" w:line="240" w:lineRule="auto"/>
        <w:rPr>
          <w:rFonts w:ascii="Arial" w:hAnsi="Arial" w:cs="Arial"/>
          <w:b/>
          <w:bCs/>
          <w:sz w:val="24"/>
          <w:szCs w:val="24"/>
        </w:rPr>
      </w:pPr>
    </w:p>
    <w:p w14:paraId="0CEFA22F" w14:textId="77777777" w:rsidR="00AC4F3B" w:rsidRDefault="00AC4F3B" w:rsidP="001D18C0">
      <w:pPr>
        <w:spacing w:after="0" w:line="240" w:lineRule="auto"/>
        <w:rPr>
          <w:rFonts w:ascii="Arial" w:hAnsi="Arial" w:cs="Arial"/>
          <w:b/>
          <w:bCs/>
          <w:sz w:val="24"/>
          <w:szCs w:val="24"/>
        </w:rPr>
      </w:pPr>
    </w:p>
    <w:p w14:paraId="51140174" w14:textId="77777777" w:rsidR="00AC4F3B" w:rsidRDefault="00AC4F3B" w:rsidP="001D18C0">
      <w:pPr>
        <w:spacing w:after="0" w:line="240" w:lineRule="auto"/>
        <w:rPr>
          <w:rFonts w:ascii="Arial" w:hAnsi="Arial" w:cs="Arial"/>
          <w:b/>
          <w:bCs/>
          <w:sz w:val="24"/>
          <w:szCs w:val="24"/>
        </w:rPr>
      </w:pPr>
    </w:p>
    <w:p w14:paraId="1F393D29" w14:textId="77777777" w:rsidR="00AC4F3B" w:rsidRDefault="00AC4F3B" w:rsidP="001D18C0">
      <w:pPr>
        <w:spacing w:after="0" w:line="240" w:lineRule="auto"/>
        <w:rPr>
          <w:rFonts w:ascii="Arial" w:hAnsi="Arial" w:cs="Arial"/>
          <w:b/>
          <w:bCs/>
          <w:sz w:val="24"/>
          <w:szCs w:val="24"/>
        </w:rPr>
      </w:pPr>
    </w:p>
    <w:p w14:paraId="0598CFB7" w14:textId="77777777" w:rsidR="00AC4F3B" w:rsidRDefault="00AC4F3B" w:rsidP="001D18C0">
      <w:pPr>
        <w:spacing w:after="0" w:line="240" w:lineRule="auto"/>
        <w:rPr>
          <w:rFonts w:ascii="Arial" w:hAnsi="Arial" w:cs="Arial"/>
          <w:b/>
          <w:bCs/>
          <w:sz w:val="24"/>
          <w:szCs w:val="24"/>
        </w:rPr>
      </w:pPr>
    </w:p>
    <w:p w14:paraId="12BC633C" w14:textId="77777777" w:rsidR="00AC4F3B" w:rsidRDefault="00AC4F3B" w:rsidP="001D18C0">
      <w:pPr>
        <w:spacing w:after="0" w:line="240" w:lineRule="auto"/>
        <w:rPr>
          <w:rFonts w:ascii="Arial" w:hAnsi="Arial" w:cs="Arial"/>
          <w:b/>
          <w:bCs/>
          <w:sz w:val="24"/>
          <w:szCs w:val="24"/>
        </w:rPr>
      </w:pPr>
    </w:p>
    <w:p w14:paraId="50BE286E" w14:textId="77777777" w:rsidR="00AC4F3B" w:rsidRDefault="00AC4F3B" w:rsidP="001D18C0">
      <w:pPr>
        <w:spacing w:after="0" w:line="240" w:lineRule="auto"/>
        <w:rPr>
          <w:rFonts w:ascii="Arial" w:hAnsi="Arial" w:cs="Arial"/>
          <w:b/>
          <w:bCs/>
          <w:sz w:val="24"/>
          <w:szCs w:val="24"/>
        </w:rPr>
      </w:pPr>
    </w:p>
    <w:p w14:paraId="68807B57" w14:textId="77777777" w:rsidR="00AC4F3B" w:rsidRDefault="00AC4F3B" w:rsidP="001D18C0">
      <w:pPr>
        <w:spacing w:after="0" w:line="240" w:lineRule="auto"/>
        <w:rPr>
          <w:rFonts w:ascii="Arial" w:hAnsi="Arial" w:cs="Arial"/>
          <w:b/>
          <w:bCs/>
          <w:sz w:val="24"/>
          <w:szCs w:val="24"/>
        </w:rPr>
      </w:pPr>
    </w:p>
    <w:p w14:paraId="38912259" w14:textId="77777777" w:rsidR="00B82771" w:rsidRDefault="00B82771" w:rsidP="001D18C0">
      <w:pPr>
        <w:spacing w:after="0" w:line="240" w:lineRule="auto"/>
        <w:rPr>
          <w:rFonts w:ascii="Arial" w:hAnsi="Arial" w:cs="Arial"/>
          <w:b/>
          <w:bCs/>
          <w:sz w:val="24"/>
          <w:szCs w:val="24"/>
        </w:rPr>
      </w:pPr>
    </w:p>
    <w:p w14:paraId="4B7DE656" w14:textId="427945EA" w:rsidR="00960BD2" w:rsidRPr="009F2DE9" w:rsidRDefault="00960BD2" w:rsidP="001D18C0">
      <w:pPr>
        <w:spacing w:after="0" w:line="240" w:lineRule="auto"/>
        <w:rPr>
          <w:rFonts w:ascii="Arial" w:hAnsi="Arial" w:cs="Arial"/>
          <w:b/>
          <w:bCs/>
          <w:sz w:val="24"/>
          <w:szCs w:val="24"/>
        </w:rPr>
      </w:pPr>
      <w:r w:rsidRPr="009F2DE9">
        <w:rPr>
          <w:rFonts w:ascii="Arial" w:hAnsi="Arial" w:cs="Arial"/>
          <w:b/>
          <w:bCs/>
          <w:sz w:val="24"/>
          <w:szCs w:val="24"/>
        </w:rPr>
        <w:t xml:space="preserve">LLR </w:t>
      </w:r>
      <w:r w:rsidR="0014483D" w:rsidRPr="009F2DE9">
        <w:rPr>
          <w:rFonts w:ascii="Arial" w:hAnsi="Arial" w:cs="Arial"/>
          <w:b/>
          <w:bCs/>
          <w:sz w:val="24"/>
          <w:szCs w:val="24"/>
        </w:rPr>
        <w:t>ICBs</w:t>
      </w:r>
      <w:r w:rsidRPr="009F2DE9">
        <w:rPr>
          <w:rFonts w:ascii="Arial" w:hAnsi="Arial" w:cs="Arial"/>
          <w:b/>
          <w:bCs/>
          <w:sz w:val="24"/>
          <w:szCs w:val="24"/>
        </w:rPr>
        <w:t xml:space="preserve"> WRES Data Summary</w:t>
      </w:r>
    </w:p>
    <w:p w14:paraId="50305997" w14:textId="77777777" w:rsidR="00A67426" w:rsidRPr="009F2DE9" w:rsidRDefault="00A67426" w:rsidP="00960BD2">
      <w:pPr>
        <w:spacing w:after="0" w:line="240" w:lineRule="auto"/>
        <w:ind w:left="227" w:hanging="227"/>
        <w:rPr>
          <w:rFonts w:ascii="Arial" w:hAnsi="Arial" w:cs="Arial"/>
          <w:sz w:val="24"/>
          <w:szCs w:val="24"/>
        </w:rPr>
      </w:pPr>
    </w:p>
    <w:p w14:paraId="6297D912" w14:textId="3F3E2D3E" w:rsidR="00B1247B" w:rsidRPr="009F2DE9" w:rsidRDefault="00390AAE" w:rsidP="0076459F">
      <w:pPr>
        <w:pStyle w:val="ListParagraph"/>
        <w:numPr>
          <w:ilvl w:val="0"/>
          <w:numId w:val="2"/>
        </w:numPr>
        <w:rPr>
          <w:rFonts w:ascii="Arial" w:hAnsi="Arial" w:cs="Arial"/>
          <w:b/>
          <w:bCs/>
          <w:sz w:val="24"/>
          <w:szCs w:val="24"/>
        </w:rPr>
      </w:pPr>
      <w:r w:rsidRPr="009F2DE9">
        <w:rPr>
          <w:rFonts w:ascii="Arial" w:hAnsi="Arial" w:cs="Arial"/>
          <w:b/>
          <w:bCs/>
          <w:sz w:val="24"/>
          <w:szCs w:val="24"/>
        </w:rPr>
        <w:t xml:space="preserve">WRES Indicator 1: percentage of staff </w:t>
      </w:r>
      <w:r w:rsidR="0081010D">
        <w:rPr>
          <w:rFonts w:ascii="Arial" w:hAnsi="Arial" w:cs="Arial"/>
          <w:b/>
          <w:bCs/>
          <w:sz w:val="24"/>
          <w:szCs w:val="24"/>
        </w:rPr>
        <w:t xml:space="preserve">both clinical and non – clinical combined </w:t>
      </w:r>
      <w:r w:rsidRPr="009F2DE9">
        <w:rPr>
          <w:rFonts w:ascii="Arial" w:hAnsi="Arial" w:cs="Arial"/>
          <w:b/>
          <w:bCs/>
          <w:sz w:val="24"/>
          <w:szCs w:val="24"/>
        </w:rPr>
        <w:t xml:space="preserve">in each of the </w:t>
      </w:r>
      <w:proofErr w:type="spellStart"/>
      <w:r w:rsidRPr="009F2DE9">
        <w:rPr>
          <w:rFonts w:ascii="Arial" w:hAnsi="Arial" w:cs="Arial"/>
          <w:b/>
          <w:bCs/>
          <w:sz w:val="24"/>
          <w:szCs w:val="24"/>
        </w:rPr>
        <w:t>AfC</w:t>
      </w:r>
      <w:proofErr w:type="spellEnd"/>
      <w:r w:rsidRPr="009F2DE9">
        <w:rPr>
          <w:rFonts w:ascii="Arial" w:hAnsi="Arial" w:cs="Arial"/>
          <w:b/>
          <w:bCs/>
          <w:sz w:val="24"/>
          <w:szCs w:val="24"/>
        </w:rPr>
        <w:t xml:space="preserve"> Bands 1-9 and VSM (including </w:t>
      </w:r>
      <w:r w:rsidR="002608C8" w:rsidRPr="009F2DE9">
        <w:rPr>
          <w:rFonts w:ascii="Arial" w:hAnsi="Arial" w:cs="Arial"/>
          <w:b/>
          <w:bCs/>
          <w:sz w:val="24"/>
          <w:szCs w:val="24"/>
        </w:rPr>
        <w:t>E</w:t>
      </w:r>
      <w:r w:rsidRPr="009F2DE9">
        <w:rPr>
          <w:rFonts w:ascii="Arial" w:hAnsi="Arial" w:cs="Arial"/>
          <w:b/>
          <w:bCs/>
          <w:sz w:val="24"/>
          <w:szCs w:val="24"/>
        </w:rPr>
        <w:t>xecutive Board members) compared with the percentage of staff in the overall workforce</w:t>
      </w:r>
      <w:r w:rsidR="004A417E">
        <w:rPr>
          <w:rFonts w:ascii="Arial" w:hAnsi="Arial" w:cs="Arial"/>
          <w:b/>
          <w:bCs/>
          <w:sz w:val="24"/>
          <w:szCs w:val="24"/>
        </w:rPr>
        <w:t>.</w:t>
      </w:r>
    </w:p>
    <w:tbl>
      <w:tblPr>
        <w:tblStyle w:val="TableGrid"/>
        <w:tblW w:w="7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3"/>
        <w:gridCol w:w="1799"/>
        <w:gridCol w:w="2086"/>
        <w:gridCol w:w="2694"/>
      </w:tblGrid>
      <w:tr w:rsidR="00B1247B" w:rsidRPr="009F2DE9" w14:paraId="45E66F8A" w14:textId="77777777" w:rsidTr="00D550C6">
        <w:trPr>
          <w:jc w:val="center"/>
        </w:trPr>
        <w:tc>
          <w:tcPr>
            <w:tcW w:w="7792" w:type="dxa"/>
            <w:gridSpan w:val="4"/>
            <w:shd w:val="clear" w:color="auto" w:fill="C6D9F1" w:themeFill="text2" w:themeFillTint="33"/>
          </w:tcPr>
          <w:p w14:paraId="08C342CD" w14:textId="48DD7DD2" w:rsidR="00B1247B" w:rsidRPr="009F2DE9" w:rsidRDefault="00B1247B" w:rsidP="00CD2E09">
            <w:pPr>
              <w:jc w:val="center"/>
              <w:rPr>
                <w:rFonts w:ascii="Arial" w:hAnsi="Arial" w:cs="Arial"/>
                <w:b/>
                <w:bCs/>
                <w:sz w:val="24"/>
                <w:szCs w:val="24"/>
              </w:rPr>
            </w:pPr>
            <w:r w:rsidRPr="009F2DE9">
              <w:rPr>
                <w:rFonts w:ascii="Arial" w:hAnsi="Arial" w:cs="Arial"/>
                <w:b/>
                <w:bCs/>
                <w:sz w:val="24"/>
                <w:szCs w:val="24"/>
              </w:rPr>
              <w:t xml:space="preserve">Percentage of LLR </w:t>
            </w:r>
            <w:r w:rsidR="001D18C0" w:rsidRPr="009F2DE9">
              <w:rPr>
                <w:rFonts w:ascii="Arial" w:hAnsi="Arial" w:cs="Arial"/>
                <w:b/>
                <w:bCs/>
                <w:sz w:val="24"/>
                <w:szCs w:val="24"/>
              </w:rPr>
              <w:t>ICB</w:t>
            </w:r>
            <w:r w:rsidRPr="009F2DE9">
              <w:rPr>
                <w:rFonts w:ascii="Arial" w:hAnsi="Arial" w:cs="Arial"/>
                <w:b/>
                <w:bCs/>
                <w:sz w:val="24"/>
                <w:szCs w:val="24"/>
              </w:rPr>
              <w:t xml:space="preserve"> staff in each </w:t>
            </w:r>
            <w:proofErr w:type="spellStart"/>
            <w:r w:rsidRPr="009F2DE9">
              <w:rPr>
                <w:rFonts w:ascii="Arial" w:hAnsi="Arial" w:cs="Arial"/>
                <w:b/>
                <w:bCs/>
                <w:sz w:val="24"/>
                <w:szCs w:val="24"/>
              </w:rPr>
              <w:t>AfC</w:t>
            </w:r>
            <w:proofErr w:type="spellEnd"/>
            <w:r w:rsidRPr="009F2DE9">
              <w:rPr>
                <w:rFonts w:ascii="Arial" w:hAnsi="Arial" w:cs="Arial"/>
                <w:b/>
                <w:bCs/>
                <w:sz w:val="24"/>
                <w:szCs w:val="24"/>
              </w:rPr>
              <w:t xml:space="preserve"> Band</w:t>
            </w:r>
          </w:p>
        </w:tc>
      </w:tr>
      <w:tr w:rsidR="00B1247B" w:rsidRPr="009F2DE9" w14:paraId="77D23EFE" w14:textId="77777777" w:rsidTr="00D550C6">
        <w:trPr>
          <w:jc w:val="center"/>
        </w:trPr>
        <w:tc>
          <w:tcPr>
            <w:tcW w:w="1213" w:type="dxa"/>
            <w:vMerge w:val="restart"/>
            <w:shd w:val="clear" w:color="auto" w:fill="C6D9F1" w:themeFill="text2" w:themeFillTint="33"/>
          </w:tcPr>
          <w:p w14:paraId="3451DC66" w14:textId="77777777" w:rsidR="00B1247B" w:rsidRPr="009F2DE9" w:rsidRDefault="00B1247B" w:rsidP="00CD2E09">
            <w:pPr>
              <w:rPr>
                <w:rFonts w:ascii="Arial" w:hAnsi="Arial" w:cs="Arial"/>
                <w:sz w:val="24"/>
                <w:szCs w:val="24"/>
              </w:rPr>
            </w:pPr>
          </w:p>
        </w:tc>
        <w:tc>
          <w:tcPr>
            <w:tcW w:w="1799" w:type="dxa"/>
            <w:shd w:val="clear" w:color="auto" w:fill="C6D9F1" w:themeFill="text2" w:themeFillTint="33"/>
            <w:vAlign w:val="center"/>
          </w:tcPr>
          <w:p w14:paraId="4380F1AC" w14:textId="77777777" w:rsidR="00B1247B" w:rsidRPr="009F2DE9" w:rsidRDefault="00B1247B" w:rsidP="001D18C0">
            <w:pPr>
              <w:jc w:val="center"/>
              <w:rPr>
                <w:rFonts w:ascii="Arial" w:hAnsi="Arial" w:cs="Arial"/>
                <w:b/>
                <w:bCs/>
                <w:sz w:val="24"/>
                <w:szCs w:val="24"/>
              </w:rPr>
            </w:pPr>
            <w:r w:rsidRPr="009F2DE9">
              <w:rPr>
                <w:rFonts w:ascii="Arial" w:hAnsi="Arial" w:cs="Arial"/>
                <w:b/>
                <w:bCs/>
                <w:sz w:val="24"/>
                <w:szCs w:val="24"/>
              </w:rPr>
              <w:t>White</w:t>
            </w:r>
          </w:p>
        </w:tc>
        <w:tc>
          <w:tcPr>
            <w:tcW w:w="2086" w:type="dxa"/>
            <w:shd w:val="clear" w:color="auto" w:fill="C6D9F1" w:themeFill="text2" w:themeFillTint="33"/>
            <w:vAlign w:val="center"/>
          </w:tcPr>
          <w:p w14:paraId="44C42B4D" w14:textId="5BF4AA84" w:rsidR="00B1247B" w:rsidRPr="009F2DE9" w:rsidRDefault="00147FC3" w:rsidP="001D18C0">
            <w:pPr>
              <w:jc w:val="center"/>
              <w:rPr>
                <w:rFonts w:ascii="Arial" w:hAnsi="Arial" w:cs="Arial"/>
                <w:b/>
                <w:bCs/>
                <w:sz w:val="24"/>
                <w:szCs w:val="24"/>
              </w:rPr>
            </w:pPr>
            <w:r>
              <w:rPr>
                <w:rFonts w:ascii="Arial" w:hAnsi="Arial" w:cs="Arial"/>
                <w:b/>
                <w:bCs/>
                <w:sz w:val="24"/>
                <w:szCs w:val="24"/>
              </w:rPr>
              <w:t>BME</w:t>
            </w:r>
          </w:p>
        </w:tc>
        <w:tc>
          <w:tcPr>
            <w:tcW w:w="2694" w:type="dxa"/>
            <w:shd w:val="clear" w:color="auto" w:fill="C6D9F1" w:themeFill="text2" w:themeFillTint="33"/>
            <w:vAlign w:val="center"/>
          </w:tcPr>
          <w:p w14:paraId="34BDFE51" w14:textId="77777777" w:rsidR="00B1247B" w:rsidRPr="009F2DE9" w:rsidRDefault="00B1247B" w:rsidP="001D18C0">
            <w:pPr>
              <w:jc w:val="center"/>
              <w:rPr>
                <w:rFonts w:ascii="Arial" w:hAnsi="Arial" w:cs="Arial"/>
                <w:b/>
                <w:bCs/>
                <w:sz w:val="24"/>
                <w:szCs w:val="24"/>
              </w:rPr>
            </w:pPr>
            <w:r w:rsidRPr="009F2DE9">
              <w:rPr>
                <w:rFonts w:ascii="Arial" w:hAnsi="Arial" w:cs="Arial"/>
                <w:b/>
                <w:bCs/>
                <w:sz w:val="24"/>
                <w:szCs w:val="24"/>
              </w:rPr>
              <w:t>Unknown</w:t>
            </w:r>
          </w:p>
        </w:tc>
      </w:tr>
      <w:tr w:rsidR="001D18C0" w:rsidRPr="009F2DE9" w14:paraId="3B9EDBCD" w14:textId="3B0801A6" w:rsidTr="00D550C6">
        <w:trPr>
          <w:jc w:val="center"/>
        </w:trPr>
        <w:tc>
          <w:tcPr>
            <w:tcW w:w="1213" w:type="dxa"/>
            <w:vMerge/>
            <w:shd w:val="clear" w:color="auto" w:fill="C6D9F1" w:themeFill="text2" w:themeFillTint="33"/>
          </w:tcPr>
          <w:p w14:paraId="57C780BF" w14:textId="77777777" w:rsidR="001D18C0" w:rsidRPr="009F2DE9" w:rsidRDefault="001D18C0" w:rsidP="001D18C0">
            <w:pPr>
              <w:rPr>
                <w:rFonts w:ascii="Arial" w:hAnsi="Arial" w:cs="Arial"/>
                <w:sz w:val="24"/>
                <w:szCs w:val="24"/>
              </w:rPr>
            </w:pPr>
          </w:p>
        </w:tc>
        <w:tc>
          <w:tcPr>
            <w:tcW w:w="1799" w:type="dxa"/>
            <w:shd w:val="clear" w:color="auto" w:fill="C6D9F1" w:themeFill="text2" w:themeFillTint="33"/>
            <w:vAlign w:val="center"/>
          </w:tcPr>
          <w:p w14:paraId="1BA2FD93" w14:textId="43506F37" w:rsidR="001D18C0" w:rsidRPr="009F2DE9" w:rsidRDefault="001D18C0" w:rsidP="001D18C0">
            <w:pPr>
              <w:jc w:val="center"/>
              <w:rPr>
                <w:rFonts w:ascii="Arial" w:hAnsi="Arial" w:cs="Arial"/>
                <w:b/>
                <w:bCs/>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086" w:type="dxa"/>
            <w:shd w:val="clear" w:color="auto" w:fill="C6D9F1" w:themeFill="text2" w:themeFillTint="33"/>
            <w:vAlign w:val="center"/>
          </w:tcPr>
          <w:p w14:paraId="7758E899" w14:textId="2056EC18" w:rsidR="001D18C0" w:rsidRPr="009F2DE9" w:rsidRDefault="001D18C0" w:rsidP="001D18C0">
            <w:pPr>
              <w:jc w:val="center"/>
              <w:rPr>
                <w:rFonts w:ascii="Arial" w:hAnsi="Arial" w:cs="Arial"/>
                <w:b/>
                <w:bCs/>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694" w:type="dxa"/>
            <w:shd w:val="clear" w:color="auto" w:fill="C6D9F1" w:themeFill="text2" w:themeFillTint="33"/>
            <w:vAlign w:val="center"/>
          </w:tcPr>
          <w:p w14:paraId="3D341665" w14:textId="0052F160" w:rsidR="001D18C0" w:rsidRPr="009F2DE9" w:rsidRDefault="001D18C0" w:rsidP="001D18C0">
            <w:pPr>
              <w:jc w:val="center"/>
              <w:rPr>
                <w:sz w:val="24"/>
                <w:szCs w:val="24"/>
              </w:rPr>
            </w:pPr>
            <w:r w:rsidRPr="009F2DE9">
              <w:rPr>
                <w:rFonts w:ascii="Arial" w:hAnsi="Arial" w:cs="Arial"/>
                <w:b/>
                <w:bCs/>
                <w:sz w:val="24"/>
                <w:szCs w:val="24"/>
              </w:rPr>
              <w:t>202</w:t>
            </w:r>
            <w:r w:rsidR="00C60B3A">
              <w:rPr>
                <w:rFonts w:ascii="Arial" w:hAnsi="Arial" w:cs="Arial"/>
                <w:b/>
                <w:bCs/>
                <w:sz w:val="24"/>
                <w:szCs w:val="24"/>
              </w:rPr>
              <w:t>3</w:t>
            </w:r>
          </w:p>
        </w:tc>
      </w:tr>
      <w:tr w:rsidR="00977895" w:rsidRPr="009F2DE9" w14:paraId="17FA809E" w14:textId="77777777" w:rsidTr="00D550C6">
        <w:trPr>
          <w:jc w:val="center"/>
        </w:trPr>
        <w:tc>
          <w:tcPr>
            <w:tcW w:w="1213" w:type="dxa"/>
            <w:vAlign w:val="center"/>
          </w:tcPr>
          <w:p w14:paraId="147E3625" w14:textId="3388C91E" w:rsidR="00977895" w:rsidRPr="009F2DE9" w:rsidRDefault="00977895" w:rsidP="001D18C0">
            <w:pPr>
              <w:rPr>
                <w:rFonts w:ascii="Arial" w:hAnsi="Arial" w:cs="Arial"/>
                <w:sz w:val="24"/>
                <w:szCs w:val="24"/>
              </w:rPr>
            </w:pPr>
            <w:r>
              <w:rPr>
                <w:rFonts w:ascii="Arial" w:hAnsi="Arial" w:cs="Arial"/>
                <w:sz w:val="24"/>
                <w:szCs w:val="24"/>
              </w:rPr>
              <w:t xml:space="preserve">Under Band 1 </w:t>
            </w:r>
          </w:p>
        </w:tc>
        <w:tc>
          <w:tcPr>
            <w:tcW w:w="1799" w:type="dxa"/>
            <w:shd w:val="clear" w:color="auto" w:fill="FFFFFF" w:themeFill="background1"/>
            <w:vAlign w:val="center"/>
          </w:tcPr>
          <w:p w14:paraId="48EFF33F" w14:textId="0698CBE7" w:rsidR="00977895" w:rsidRPr="009F2DE9" w:rsidRDefault="00977895" w:rsidP="00305A02">
            <w:pPr>
              <w:jc w:val="center"/>
              <w:rPr>
                <w:rFonts w:ascii="Arial" w:hAnsi="Arial" w:cs="Arial"/>
                <w:sz w:val="24"/>
                <w:szCs w:val="24"/>
              </w:rPr>
            </w:pPr>
            <w:r>
              <w:rPr>
                <w:rFonts w:ascii="Arial" w:hAnsi="Arial" w:cs="Arial"/>
                <w:sz w:val="24"/>
                <w:szCs w:val="24"/>
              </w:rPr>
              <w:t>50%</w:t>
            </w:r>
          </w:p>
        </w:tc>
        <w:tc>
          <w:tcPr>
            <w:tcW w:w="2086" w:type="dxa"/>
            <w:shd w:val="clear" w:color="auto" w:fill="FFFFFF" w:themeFill="background1"/>
            <w:vAlign w:val="center"/>
          </w:tcPr>
          <w:p w14:paraId="38538E81" w14:textId="5DE96CDD" w:rsidR="00977895" w:rsidRPr="009F2DE9" w:rsidRDefault="00977895" w:rsidP="00305A02">
            <w:pPr>
              <w:jc w:val="center"/>
              <w:rPr>
                <w:rFonts w:ascii="Arial" w:hAnsi="Arial" w:cs="Arial"/>
                <w:sz w:val="24"/>
                <w:szCs w:val="24"/>
              </w:rPr>
            </w:pPr>
            <w:r>
              <w:rPr>
                <w:rFonts w:ascii="Arial" w:hAnsi="Arial" w:cs="Arial"/>
                <w:sz w:val="24"/>
                <w:szCs w:val="24"/>
              </w:rPr>
              <w:t>50%</w:t>
            </w:r>
          </w:p>
        </w:tc>
        <w:tc>
          <w:tcPr>
            <w:tcW w:w="2694" w:type="dxa"/>
            <w:shd w:val="clear" w:color="auto" w:fill="FFFFFF" w:themeFill="background1"/>
            <w:vAlign w:val="center"/>
          </w:tcPr>
          <w:p w14:paraId="788EC3CD" w14:textId="75202411" w:rsidR="00977895" w:rsidRPr="009F2DE9" w:rsidRDefault="00977895" w:rsidP="00305A02">
            <w:pPr>
              <w:jc w:val="center"/>
              <w:rPr>
                <w:rFonts w:ascii="Arial" w:hAnsi="Arial" w:cs="Arial"/>
                <w:sz w:val="24"/>
                <w:szCs w:val="24"/>
              </w:rPr>
            </w:pPr>
            <w:r>
              <w:rPr>
                <w:rFonts w:ascii="Arial" w:hAnsi="Arial" w:cs="Arial"/>
                <w:sz w:val="24"/>
                <w:szCs w:val="24"/>
              </w:rPr>
              <w:t>0%</w:t>
            </w:r>
          </w:p>
        </w:tc>
      </w:tr>
      <w:tr w:rsidR="001D18C0" w:rsidRPr="009F2DE9" w14:paraId="67F0EEAB" w14:textId="07ABE706" w:rsidTr="00D550C6">
        <w:trPr>
          <w:jc w:val="center"/>
        </w:trPr>
        <w:tc>
          <w:tcPr>
            <w:tcW w:w="1213" w:type="dxa"/>
            <w:vAlign w:val="center"/>
          </w:tcPr>
          <w:p w14:paraId="7D8B62A5" w14:textId="77777777" w:rsidR="001D18C0" w:rsidRPr="009F2DE9" w:rsidRDefault="001D18C0" w:rsidP="001D18C0">
            <w:pPr>
              <w:rPr>
                <w:rFonts w:ascii="Arial" w:hAnsi="Arial" w:cs="Arial"/>
                <w:sz w:val="24"/>
                <w:szCs w:val="24"/>
              </w:rPr>
            </w:pPr>
            <w:r w:rsidRPr="009F2DE9">
              <w:rPr>
                <w:rFonts w:ascii="Arial" w:hAnsi="Arial" w:cs="Arial"/>
                <w:sz w:val="24"/>
                <w:szCs w:val="24"/>
              </w:rPr>
              <w:t>Band 1</w:t>
            </w:r>
          </w:p>
        </w:tc>
        <w:tc>
          <w:tcPr>
            <w:tcW w:w="1799" w:type="dxa"/>
            <w:shd w:val="clear" w:color="auto" w:fill="FFFFFF" w:themeFill="background1"/>
            <w:vAlign w:val="center"/>
          </w:tcPr>
          <w:p w14:paraId="6754412F" w14:textId="15F82C6D" w:rsidR="001D18C0" w:rsidRPr="009F2DE9" w:rsidRDefault="00305A02" w:rsidP="00305A02">
            <w:pPr>
              <w:jc w:val="center"/>
              <w:rPr>
                <w:rFonts w:ascii="Arial" w:hAnsi="Arial" w:cs="Arial"/>
                <w:sz w:val="24"/>
                <w:szCs w:val="24"/>
              </w:rPr>
            </w:pPr>
            <w:r w:rsidRPr="009F2DE9">
              <w:rPr>
                <w:rFonts w:ascii="Arial" w:hAnsi="Arial" w:cs="Arial"/>
                <w:sz w:val="24"/>
                <w:szCs w:val="24"/>
              </w:rPr>
              <w:t>0%</w:t>
            </w:r>
          </w:p>
        </w:tc>
        <w:tc>
          <w:tcPr>
            <w:tcW w:w="2086" w:type="dxa"/>
            <w:shd w:val="clear" w:color="auto" w:fill="FFFFFF" w:themeFill="background1"/>
            <w:vAlign w:val="center"/>
          </w:tcPr>
          <w:p w14:paraId="72CBABF4" w14:textId="5CE59E32" w:rsidR="001D18C0" w:rsidRPr="009F2DE9" w:rsidRDefault="00305A02" w:rsidP="00305A02">
            <w:pPr>
              <w:jc w:val="center"/>
              <w:rPr>
                <w:rFonts w:ascii="Arial" w:hAnsi="Arial" w:cs="Arial"/>
                <w:sz w:val="24"/>
                <w:szCs w:val="24"/>
              </w:rPr>
            </w:pPr>
            <w:r w:rsidRPr="009F2DE9">
              <w:rPr>
                <w:rFonts w:ascii="Arial" w:hAnsi="Arial" w:cs="Arial"/>
                <w:sz w:val="24"/>
                <w:szCs w:val="24"/>
              </w:rPr>
              <w:t>0</w:t>
            </w:r>
            <w:r w:rsidR="001D18C0" w:rsidRPr="009F2DE9">
              <w:rPr>
                <w:rFonts w:ascii="Arial" w:hAnsi="Arial" w:cs="Arial"/>
                <w:sz w:val="24"/>
                <w:szCs w:val="24"/>
              </w:rPr>
              <w:t>%</w:t>
            </w:r>
          </w:p>
        </w:tc>
        <w:tc>
          <w:tcPr>
            <w:tcW w:w="2694" w:type="dxa"/>
            <w:shd w:val="clear" w:color="auto" w:fill="FFFFFF" w:themeFill="background1"/>
            <w:vAlign w:val="center"/>
          </w:tcPr>
          <w:p w14:paraId="68CA754B" w14:textId="3A02AD37" w:rsidR="001D18C0" w:rsidRPr="009F2DE9" w:rsidRDefault="001D18C0" w:rsidP="00305A02">
            <w:pPr>
              <w:jc w:val="center"/>
              <w:rPr>
                <w:sz w:val="24"/>
                <w:szCs w:val="24"/>
              </w:rPr>
            </w:pPr>
            <w:r w:rsidRPr="009F2DE9">
              <w:rPr>
                <w:rFonts w:ascii="Arial" w:hAnsi="Arial" w:cs="Arial"/>
                <w:sz w:val="24"/>
                <w:szCs w:val="24"/>
              </w:rPr>
              <w:t>0%</w:t>
            </w:r>
          </w:p>
        </w:tc>
      </w:tr>
      <w:tr w:rsidR="001D18C0" w:rsidRPr="009F2DE9" w14:paraId="52A70726" w14:textId="13BBF132" w:rsidTr="00D550C6">
        <w:trPr>
          <w:jc w:val="center"/>
        </w:trPr>
        <w:tc>
          <w:tcPr>
            <w:tcW w:w="1213" w:type="dxa"/>
            <w:vAlign w:val="center"/>
          </w:tcPr>
          <w:p w14:paraId="2100FA14" w14:textId="77777777" w:rsidR="001D18C0" w:rsidRPr="009F2DE9" w:rsidRDefault="001D18C0" w:rsidP="001D18C0">
            <w:pPr>
              <w:rPr>
                <w:rFonts w:ascii="Arial" w:hAnsi="Arial" w:cs="Arial"/>
                <w:sz w:val="24"/>
                <w:szCs w:val="24"/>
              </w:rPr>
            </w:pPr>
            <w:r w:rsidRPr="009F2DE9">
              <w:rPr>
                <w:rFonts w:ascii="Arial" w:hAnsi="Arial" w:cs="Arial"/>
                <w:sz w:val="24"/>
                <w:szCs w:val="24"/>
              </w:rPr>
              <w:t>Band 2</w:t>
            </w:r>
          </w:p>
        </w:tc>
        <w:tc>
          <w:tcPr>
            <w:tcW w:w="1799" w:type="dxa"/>
            <w:shd w:val="clear" w:color="auto" w:fill="FFFFFF" w:themeFill="background1"/>
            <w:vAlign w:val="center"/>
          </w:tcPr>
          <w:p w14:paraId="3D869095" w14:textId="11C0EC51" w:rsidR="001D18C0" w:rsidRPr="009F2DE9" w:rsidRDefault="00305A02" w:rsidP="00305A02">
            <w:pPr>
              <w:jc w:val="center"/>
              <w:rPr>
                <w:rFonts w:ascii="Arial" w:hAnsi="Arial" w:cs="Arial"/>
                <w:sz w:val="24"/>
                <w:szCs w:val="24"/>
              </w:rPr>
            </w:pPr>
            <w:r w:rsidRPr="009F2DE9">
              <w:rPr>
                <w:rFonts w:ascii="Arial" w:hAnsi="Arial" w:cs="Arial"/>
                <w:sz w:val="24"/>
                <w:szCs w:val="24"/>
              </w:rPr>
              <w:t>0</w:t>
            </w:r>
            <w:r w:rsidR="001D18C0" w:rsidRPr="009F2DE9">
              <w:rPr>
                <w:rFonts w:ascii="Arial" w:hAnsi="Arial" w:cs="Arial"/>
                <w:sz w:val="24"/>
                <w:szCs w:val="24"/>
              </w:rPr>
              <w:t>%</w:t>
            </w:r>
          </w:p>
        </w:tc>
        <w:tc>
          <w:tcPr>
            <w:tcW w:w="2086" w:type="dxa"/>
            <w:shd w:val="clear" w:color="auto" w:fill="FFFFFF" w:themeFill="background1"/>
            <w:vAlign w:val="center"/>
          </w:tcPr>
          <w:p w14:paraId="5896EBFC" w14:textId="7613F197" w:rsidR="001D18C0" w:rsidRPr="009F2DE9" w:rsidRDefault="00305A02" w:rsidP="00305A02">
            <w:pPr>
              <w:jc w:val="center"/>
              <w:rPr>
                <w:rFonts w:ascii="Arial" w:hAnsi="Arial" w:cs="Arial"/>
                <w:sz w:val="24"/>
                <w:szCs w:val="24"/>
              </w:rPr>
            </w:pPr>
            <w:r w:rsidRPr="009F2DE9">
              <w:rPr>
                <w:rFonts w:ascii="Arial" w:hAnsi="Arial" w:cs="Arial"/>
                <w:sz w:val="24"/>
                <w:szCs w:val="24"/>
              </w:rPr>
              <w:t>0</w:t>
            </w:r>
            <w:r w:rsidR="001D18C0" w:rsidRPr="009F2DE9">
              <w:rPr>
                <w:rFonts w:ascii="Arial" w:hAnsi="Arial" w:cs="Arial"/>
                <w:sz w:val="24"/>
                <w:szCs w:val="24"/>
              </w:rPr>
              <w:t>%</w:t>
            </w:r>
          </w:p>
        </w:tc>
        <w:tc>
          <w:tcPr>
            <w:tcW w:w="2694" w:type="dxa"/>
            <w:shd w:val="clear" w:color="auto" w:fill="FFFFFF" w:themeFill="background1"/>
            <w:vAlign w:val="center"/>
          </w:tcPr>
          <w:p w14:paraId="2C20D951" w14:textId="52836F17" w:rsidR="001D18C0" w:rsidRPr="009F2DE9" w:rsidRDefault="00305A02" w:rsidP="00305A02">
            <w:pPr>
              <w:jc w:val="center"/>
              <w:rPr>
                <w:sz w:val="24"/>
                <w:szCs w:val="24"/>
              </w:rPr>
            </w:pPr>
            <w:r w:rsidRPr="009F2DE9">
              <w:rPr>
                <w:rFonts w:ascii="Arial" w:hAnsi="Arial" w:cs="Arial"/>
                <w:sz w:val="24"/>
                <w:szCs w:val="24"/>
              </w:rPr>
              <w:t>10</w:t>
            </w:r>
            <w:r w:rsidR="001D18C0" w:rsidRPr="009F2DE9">
              <w:rPr>
                <w:rFonts w:ascii="Arial" w:hAnsi="Arial" w:cs="Arial"/>
                <w:sz w:val="24"/>
                <w:szCs w:val="24"/>
              </w:rPr>
              <w:t>0%</w:t>
            </w:r>
          </w:p>
        </w:tc>
      </w:tr>
      <w:tr w:rsidR="001D18C0" w:rsidRPr="009F2DE9" w14:paraId="18618673" w14:textId="729090B6" w:rsidTr="00D550C6">
        <w:trPr>
          <w:jc w:val="center"/>
        </w:trPr>
        <w:tc>
          <w:tcPr>
            <w:tcW w:w="1213" w:type="dxa"/>
            <w:vAlign w:val="center"/>
          </w:tcPr>
          <w:p w14:paraId="6CCA17FD" w14:textId="77777777" w:rsidR="001D18C0" w:rsidRPr="009F2DE9" w:rsidRDefault="001D18C0" w:rsidP="001D18C0">
            <w:pPr>
              <w:rPr>
                <w:rFonts w:ascii="Arial" w:hAnsi="Arial" w:cs="Arial"/>
                <w:sz w:val="24"/>
                <w:szCs w:val="24"/>
              </w:rPr>
            </w:pPr>
            <w:r w:rsidRPr="009F2DE9">
              <w:rPr>
                <w:rFonts w:ascii="Arial" w:hAnsi="Arial" w:cs="Arial"/>
                <w:sz w:val="24"/>
                <w:szCs w:val="24"/>
              </w:rPr>
              <w:t>Band 3</w:t>
            </w:r>
          </w:p>
        </w:tc>
        <w:tc>
          <w:tcPr>
            <w:tcW w:w="1799" w:type="dxa"/>
            <w:shd w:val="clear" w:color="auto" w:fill="FFFFFF" w:themeFill="background1"/>
            <w:vAlign w:val="center"/>
          </w:tcPr>
          <w:p w14:paraId="2007474A" w14:textId="7E675317" w:rsidR="001D18C0" w:rsidRPr="009F2DE9" w:rsidRDefault="00305A02" w:rsidP="00305A02">
            <w:pPr>
              <w:jc w:val="center"/>
              <w:rPr>
                <w:rFonts w:ascii="Arial" w:hAnsi="Arial" w:cs="Arial"/>
                <w:sz w:val="24"/>
                <w:szCs w:val="24"/>
              </w:rPr>
            </w:pPr>
            <w:r w:rsidRPr="009F2DE9">
              <w:rPr>
                <w:rFonts w:ascii="Arial" w:hAnsi="Arial" w:cs="Arial"/>
                <w:sz w:val="24"/>
                <w:szCs w:val="24"/>
              </w:rPr>
              <w:t>100</w:t>
            </w:r>
            <w:r w:rsidR="001D18C0" w:rsidRPr="009F2DE9">
              <w:rPr>
                <w:rFonts w:ascii="Arial" w:hAnsi="Arial" w:cs="Arial"/>
                <w:sz w:val="24"/>
                <w:szCs w:val="24"/>
              </w:rPr>
              <w:t>%</w:t>
            </w:r>
          </w:p>
        </w:tc>
        <w:tc>
          <w:tcPr>
            <w:tcW w:w="2086" w:type="dxa"/>
            <w:shd w:val="clear" w:color="auto" w:fill="FFFFFF" w:themeFill="background1"/>
            <w:vAlign w:val="center"/>
          </w:tcPr>
          <w:p w14:paraId="5D6ACC26" w14:textId="36471295" w:rsidR="001D18C0" w:rsidRPr="009F2DE9" w:rsidRDefault="00305A02" w:rsidP="00305A02">
            <w:pPr>
              <w:jc w:val="center"/>
              <w:rPr>
                <w:rFonts w:ascii="Arial" w:hAnsi="Arial" w:cs="Arial"/>
                <w:sz w:val="24"/>
                <w:szCs w:val="24"/>
              </w:rPr>
            </w:pPr>
            <w:r w:rsidRPr="009F2DE9">
              <w:rPr>
                <w:rFonts w:ascii="Arial" w:hAnsi="Arial" w:cs="Arial"/>
                <w:sz w:val="24"/>
                <w:szCs w:val="24"/>
              </w:rPr>
              <w:t>0</w:t>
            </w:r>
            <w:r w:rsidR="001D18C0" w:rsidRPr="009F2DE9">
              <w:rPr>
                <w:rFonts w:ascii="Arial" w:hAnsi="Arial" w:cs="Arial"/>
                <w:sz w:val="24"/>
                <w:szCs w:val="24"/>
              </w:rPr>
              <w:t>%</w:t>
            </w:r>
          </w:p>
        </w:tc>
        <w:tc>
          <w:tcPr>
            <w:tcW w:w="2694" w:type="dxa"/>
            <w:shd w:val="clear" w:color="auto" w:fill="FFFFFF" w:themeFill="background1"/>
            <w:vAlign w:val="center"/>
          </w:tcPr>
          <w:p w14:paraId="2F0C9CFE" w14:textId="5699C73F" w:rsidR="001D18C0" w:rsidRPr="009F2DE9" w:rsidRDefault="00305A02" w:rsidP="00305A02">
            <w:pPr>
              <w:jc w:val="center"/>
              <w:rPr>
                <w:sz w:val="24"/>
                <w:szCs w:val="24"/>
              </w:rPr>
            </w:pPr>
            <w:r w:rsidRPr="009F2DE9">
              <w:rPr>
                <w:rFonts w:ascii="Arial" w:hAnsi="Arial" w:cs="Arial"/>
                <w:sz w:val="24"/>
                <w:szCs w:val="24"/>
              </w:rPr>
              <w:t>0</w:t>
            </w:r>
            <w:r w:rsidR="001D18C0" w:rsidRPr="009F2DE9">
              <w:rPr>
                <w:rFonts w:ascii="Arial" w:hAnsi="Arial" w:cs="Arial"/>
                <w:sz w:val="24"/>
                <w:szCs w:val="24"/>
              </w:rPr>
              <w:t>%</w:t>
            </w:r>
          </w:p>
        </w:tc>
      </w:tr>
      <w:tr w:rsidR="001D18C0" w:rsidRPr="009F2DE9" w14:paraId="7D1842A6" w14:textId="2CCF45B2" w:rsidTr="00D550C6">
        <w:trPr>
          <w:jc w:val="center"/>
        </w:trPr>
        <w:tc>
          <w:tcPr>
            <w:tcW w:w="1213" w:type="dxa"/>
            <w:vAlign w:val="center"/>
          </w:tcPr>
          <w:p w14:paraId="706FB2C1" w14:textId="77777777" w:rsidR="001D18C0" w:rsidRPr="009F2DE9" w:rsidRDefault="001D18C0" w:rsidP="001D18C0">
            <w:pPr>
              <w:rPr>
                <w:rFonts w:ascii="Arial" w:hAnsi="Arial" w:cs="Arial"/>
                <w:sz w:val="24"/>
                <w:szCs w:val="24"/>
              </w:rPr>
            </w:pPr>
            <w:r w:rsidRPr="009F2DE9">
              <w:rPr>
                <w:rFonts w:ascii="Arial" w:hAnsi="Arial" w:cs="Arial"/>
                <w:sz w:val="24"/>
                <w:szCs w:val="24"/>
              </w:rPr>
              <w:t>Band 4</w:t>
            </w:r>
          </w:p>
        </w:tc>
        <w:tc>
          <w:tcPr>
            <w:tcW w:w="1799" w:type="dxa"/>
            <w:shd w:val="clear" w:color="auto" w:fill="FFFFFF" w:themeFill="background1"/>
            <w:vAlign w:val="center"/>
          </w:tcPr>
          <w:p w14:paraId="0829932C" w14:textId="069C2809" w:rsidR="001D18C0" w:rsidRPr="009F2DE9" w:rsidRDefault="00305A02" w:rsidP="00305A02">
            <w:pPr>
              <w:jc w:val="center"/>
              <w:rPr>
                <w:rFonts w:ascii="Arial" w:hAnsi="Arial" w:cs="Arial"/>
                <w:sz w:val="24"/>
                <w:szCs w:val="24"/>
              </w:rPr>
            </w:pPr>
            <w:r w:rsidRPr="009F2DE9">
              <w:rPr>
                <w:rFonts w:ascii="Arial" w:hAnsi="Arial" w:cs="Arial"/>
                <w:sz w:val="24"/>
                <w:szCs w:val="24"/>
              </w:rPr>
              <w:t>27.8</w:t>
            </w:r>
            <w:r w:rsidR="001D18C0" w:rsidRPr="009F2DE9">
              <w:rPr>
                <w:rFonts w:ascii="Arial" w:hAnsi="Arial" w:cs="Arial"/>
                <w:sz w:val="24"/>
                <w:szCs w:val="24"/>
              </w:rPr>
              <w:t>%</w:t>
            </w:r>
          </w:p>
        </w:tc>
        <w:tc>
          <w:tcPr>
            <w:tcW w:w="2086" w:type="dxa"/>
            <w:shd w:val="clear" w:color="auto" w:fill="FFFFFF" w:themeFill="background1"/>
            <w:vAlign w:val="center"/>
          </w:tcPr>
          <w:p w14:paraId="7D4B9887" w14:textId="12A7F89B" w:rsidR="001D18C0" w:rsidRPr="009F2DE9" w:rsidRDefault="00305A02" w:rsidP="00305A02">
            <w:pPr>
              <w:jc w:val="center"/>
              <w:rPr>
                <w:rFonts w:ascii="Arial" w:hAnsi="Arial" w:cs="Arial"/>
                <w:sz w:val="24"/>
                <w:szCs w:val="24"/>
              </w:rPr>
            </w:pPr>
            <w:r w:rsidRPr="009F2DE9">
              <w:rPr>
                <w:rFonts w:ascii="Arial" w:hAnsi="Arial" w:cs="Arial"/>
                <w:sz w:val="24"/>
                <w:szCs w:val="24"/>
              </w:rPr>
              <w:t>66.7</w:t>
            </w:r>
            <w:r w:rsidR="001D18C0" w:rsidRPr="009F2DE9">
              <w:rPr>
                <w:rFonts w:ascii="Arial" w:hAnsi="Arial" w:cs="Arial"/>
                <w:sz w:val="24"/>
                <w:szCs w:val="24"/>
              </w:rPr>
              <w:t>%</w:t>
            </w:r>
          </w:p>
        </w:tc>
        <w:tc>
          <w:tcPr>
            <w:tcW w:w="2694" w:type="dxa"/>
            <w:shd w:val="clear" w:color="auto" w:fill="FFFFFF" w:themeFill="background1"/>
            <w:vAlign w:val="center"/>
          </w:tcPr>
          <w:p w14:paraId="26B18393" w14:textId="1ADDE721" w:rsidR="001D18C0" w:rsidRPr="009F2DE9" w:rsidRDefault="00305A02" w:rsidP="00305A02">
            <w:pPr>
              <w:jc w:val="center"/>
              <w:rPr>
                <w:sz w:val="24"/>
                <w:szCs w:val="24"/>
              </w:rPr>
            </w:pPr>
            <w:r w:rsidRPr="009F2DE9">
              <w:rPr>
                <w:rFonts w:ascii="Arial" w:hAnsi="Arial" w:cs="Arial"/>
                <w:sz w:val="24"/>
                <w:szCs w:val="24"/>
              </w:rPr>
              <w:t>5.5</w:t>
            </w:r>
            <w:r w:rsidR="001D18C0" w:rsidRPr="009F2DE9">
              <w:rPr>
                <w:rFonts w:ascii="Arial" w:hAnsi="Arial" w:cs="Arial"/>
                <w:sz w:val="24"/>
                <w:szCs w:val="24"/>
              </w:rPr>
              <w:t>%</w:t>
            </w:r>
          </w:p>
        </w:tc>
      </w:tr>
      <w:tr w:rsidR="001D18C0" w:rsidRPr="009F2DE9" w14:paraId="45BFB8A5" w14:textId="4D33B73E" w:rsidTr="00D550C6">
        <w:trPr>
          <w:jc w:val="center"/>
        </w:trPr>
        <w:tc>
          <w:tcPr>
            <w:tcW w:w="1213" w:type="dxa"/>
            <w:vAlign w:val="center"/>
          </w:tcPr>
          <w:p w14:paraId="26C1C24F" w14:textId="77777777" w:rsidR="001D18C0" w:rsidRPr="009F2DE9" w:rsidRDefault="001D18C0" w:rsidP="001D18C0">
            <w:pPr>
              <w:rPr>
                <w:rFonts w:ascii="Arial" w:hAnsi="Arial" w:cs="Arial"/>
                <w:sz w:val="24"/>
                <w:szCs w:val="24"/>
              </w:rPr>
            </w:pPr>
            <w:r w:rsidRPr="009F2DE9">
              <w:rPr>
                <w:rFonts w:ascii="Arial" w:hAnsi="Arial" w:cs="Arial"/>
                <w:sz w:val="24"/>
                <w:szCs w:val="24"/>
              </w:rPr>
              <w:t>Band 5</w:t>
            </w:r>
          </w:p>
        </w:tc>
        <w:tc>
          <w:tcPr>
            <w:tcW w:w="1799" w:type="dxa"/>
            <w:shd w:val="clear" w:color="auto" w:fill="FFFFFF" w:themeFill="background1"/>
            <w:vAlign w:val="center"/>
          </w:tcPr>
          <w:p w14:paraId="724808AB" w14:textId="426714B0" w:rsidR="001D18C0" w:rsidRPr="009F2DE9" w:rsidRDefault="00305A02" w:rsidP="00305A02">
            <w:pPr>
              <w:jc w:val="center"/>
              <w:rPr>
                <w:rFonts w:ascii="Arial" w:hAnsi="Arial" w:cs="Arial"/>
                <w:sz w:val="24"/>
                <w:szCs w:val="24"/>
              </w:rPr>
            </w:pPr>
            <w:r w:rsidRPr="009F2DE9">
              <w:rPr>
                <w:rFonts w:ascii="Arial" w:hAnsi="Arial" w:cs="Arial"/>
                <w:sz w:val="24"/>
                <w:szCs w:val="24"/>
              </w:rPr>
              <w:t>56.7</w:t>
            </w:r>
            <w:r w:rsidR="001D18C0" w:rsidRPr="009F2DE9">
              <w:rPr>
                <w:rFonts w:ascii="Arial" w:hAnsi="Arial" w:cs="Arial"/>
                <w:sz w:val="24"/>
                <w:szCs w:val="24"/>
              </w:rPr>
              <w:t>%</w:t>
            </w:r>
          </w:p>
        </w:tc>
        <w:tc>
          <w:tcPr>
            <w:tcW w:w="2086" w:type="dxa"/>
            <w:shd w:val="clear" w:color="auto" w:fill="FFFFFF" w:themeFill="background1"/>
            <w:vAlign w:val="center"/>
          </w:tcPr>
          <w:p w14:paraId="252D205C" w14:textId="13BA6053" w:rsidR="001D18C0" w:rsidRPr="009F2DE9" w:rsidRDefault="00305A02" w:rsidP="00305A02">
            <w:pPr>
              <w:jc w:val="center"/>
              <w:rPr>
                <w:rFonts w:ascii="Arial" w:hAnsi="Arial" w:cs="Arial"/>
                <w:sz w:val="24"/>
                <w:szCs w:val="24"/>
              </w:rPr>
            </w:pPr>
            <w:r w:rsidRPr="009F2DE9">
              <w:rPr>
                <w:rFonts w:ascii="Arial" w:hAnsi="Arial" w:cs="Arial"/>
                <w:sz w:val="24"/>
                <w:szCs w:val="24"/>
              </w:rPr>
              <w:t>36.7</w:t>
            </w:r>
            <w:r w:rsidR="001D18C0" w:rsidRPr="009F2DE9">
              <w:rPr>
                <w:rFonts w:ascii="Arial" w:hAnsi="Arial" w:cs="Arial"/>
                <w:sz w:val="24"/>
                <w:szCs w:val="24"/>
              </w:rPr>
              <w:t>%</w:t>
            </w:r>
          </w:p>
        </w:tc>
        <w:tc>
          <w:tcPr>
            <w:tcW w:w="2694" w:type="dxa"/>
            <w:shd w:val="clear" w:color="auto" w:fill="FFFFFF" w:themeFill="background1"/>
            <w:vAlign w:val="center"/>
          </w:tcPr>
          <w:p w14:paraId="5409A32F" w14:textId="051BF75D" w:rsidR="001D18C0" w:rsidRPr="009F2DE9" w:rsidRDefault="00305A02" w:rsidP="00305A02">
            <w:pPr>
              <w:jc w:val="center"/>
              <w:rPr>
                <w:sz w:val="24"/>
                <w:szCs w:val="24"/>
              </w:rPr>
            </w:pPr>
            <w:r w:rsidRPr="009F2DE9">
              <w:rPr>
                <w:rFonts w:ascii="Arial" w:hAnsi="Arial" w:cs="Arial"/>
                <w:sz w:val="24"/>
                <w:szCs w:val="24"/>
              </w:rPr>
              <w:t>6.6</w:t>
            </w:r>
            <w:r w:rsidR="001D18C0" w:rsidRPr="009F2DE9">
              <w:rPr>
                <w:rFonts w:ascii="Arial" w:hAnsi="Arial" w:cs="Arial"/>
                <w:sz w:val="24"/>
                <w:szCs w:val="24"/>
              </w:rPr>
              <w:t>%</w:t>
            </w:r>
          </w:p>
        </w:tc>
      </w:tr>
      <w:tr w:rsidR="001D18C0" w:rsidRPr="009F2DE9" w14:paraId="6E39860B" w14:textId="1EE6E69E" w:rsidTr="00D550C6">
        <w:trPr>
          <w:jc w:val="center"/>
        </w:trPr>
        <w:tc>
          <w:tcPr>
            <w:tcW w:w="1213" w:type="dxa"/>
            <w:vAlign w:val="center"/>
          </w:tcPr>
          <w:p w14:paraId="671B754B" w14:textId="77777777" w:rsidR="001D18C0" w:rsidRPr="009F2DE9" w:rsidRDefault="001D18C0" w:rsidP="001D18C0">
            <w:pPr>
              <w:rPr>
                <w:rFonts w:ascii="Arial" w:hAnsi="Arial" w:cs="Arial"/>
                <w:sz w:val="24"/>
                <w:szCs w:val="24"/>
              </w:rPr>
            </w:pPr>
            <w:r w:rsidRPr="009F2DE9">
              <w:rPr>
                <w:rFonts w:ascii="Arial" w:hAnsi="Arial" w:cs="Arial"/>
                <w:sz w:val="24"/>
                <w:szCs w:val="24"/>
              </w:rPr>
              <w:t>Band 6</w:t>
            </w:r>
          </w:p>
        </w:tc>
        <w:tc>
          <w:tcPr>
            <w:tcW w:w="1799" w:type="dxa"/>
            <w:shd w:val="clear" w:color="auto" w:fill="FFFFFF" w:themeFill="background1"/>
            <w:vAlign w:val="center"/>
          </w:tcPr>
          <w:p w14:paraId="236FB8E8" w14:textId="1BA12370" w:rsidR="001D18C0" w:rsidRPr="009F2DE9" w:rsidRDefault="00305A02" w:rsidP="00305A02">
            <w:pPr>
              <w:jc w:val="center"/>
              <w:rPr>
                <w:rFonts w:ascii="Arial" w:hAnsi="Arial" w:cs="Arial"/>
                <w:sz w:val="24"/>
                <w:szCs w:val="24"/>
              </w:rPr>
            </w:pPr>
            <w:r w:rsidRPr="009F2DE9">
              <w:rPr>
                <w:rFonts w:ascii="Arial" w:hAnsi="Arial" w:cs="Arial"/>
                <w:sz w:val="24"/>
                <w:szCs w:val="24"/>
              </w:rPr>
              <w:t>56.9</w:t>
            </w:r>
            <w:r w:rsidR="001D18C0" w:rsidRPr="009F2DE9">
              <w:rPr>
                <w:rFonts w:ascii="Arial" w:hAnsi="Arial" w:cs="Arial"/>
                <w:sz w:val="24"/>
                <w:szCs w:val="24"/>
              </w:rPr>
              <w:t>%</w:t>
            </w:r>
          </w:p>
        </w:tc>
        <w:tc>
          <w:tcPr>
            <w:tcW w:w="2086" w:type="dxa"/>
            <w:shd w:val="clear" w:color="auto" w:fill="FFFFFF" w:themeFill="background1"/>
            <w:vAlign w:val="center"/>
          </w:tcPr>
          <w:p w14:paraId="6990CE47" w14:textId="49DCD23F" w:rsidR="001D18C0" w:rsidRPr="009F2DE9" w:rsidRDefault="00305A02" w:rsidP="00305A02">
            <w:pPr>
              <w:jc w:val="center"/>
              <w:rPr>
                <w:rFonts w:ascii="Arial" w:hAnsi="Arial" w:cs="Arial"/>
                <w:sz w:val="24"/>
                <w:szCs w:val="24"/>
              </w:rPr>
            </w:pPr>
            <w:r w:rsidRPr="009F2DE9">
              <w:rPr>
                <w:rFonts w:ascii="Arial" w:hAnsi="Arial" w:cs="Arial"/>
                <w:sz w:val="24"/>
                <w:szCs w:val="24"/>
              </w:rPr>
              <w:t>39.2</w:t>
            </w:r>
            <w:r w:rsidR="001D18C0" w:rsidRPr="009F2DE9">
              <w:rPr>
                <w:rFonts w:ascii="Arial" w:hAnsi="Arial" w:cs="Arial"/>
                <w:sz w:val="24"/>
                <w:szCs w:val="24"/>
              </w:rPr>
              <w:t>%</w:t>
            </w:r>
          </w:p>
        </w:tc>
        <w:tc>
          <w:tcPr>
            <w:tcW w:w="2694" w:type="dxa"/>
            <w:shd w:val="clear" w:color="auto" w:fill="FFFFFF" w:themeFill="background1"/>
            <w:vAlign w:val="center"/>
          </w:tcPr>
          <w:p w14:paraId="1B29F732" w14:textId="2DE9EE71" w:rsidR="001D18C0" w:rsidRPr="009F2DE9" w:rsidRDefault="00305A02" w:rsidP="00305A02">
            <w:pPr>
              <w:jc w:val="center"/>
              <w:rPr>
                <w:sz w:val="24"/>
                <w:szCs w:val="24"/>
              </w:rPr>
            </w:pPr>
            <w:r w:rsidRPr="009F2DE9">
              <w:rPr>
                <w:rFonts w:ascii="Arial" w:hAnsi="Arial" w:cs="Arial"/>
                <w:sz w:val="24"/>
                <w:szCs w:val="24"/>
              </w:rPr>
              <w:t>3.9</w:t>
            </w:r>
            <w:r w:rsidR="001D18C0" w:rsidRPr="009F2DE9">
              <w:rPr>
                <w:rFonts w:ascii="Arial" w:hAnsi="Arial" w:cs="Arial"/>
                <w:sz w:val="24"/>
                <w:szCs w:val="24"/>
              </w:rPr>
              <w:t>%</w:t>
            </w:r>
          </w:p>
        </w:tc>
      </w:tr>
      <w:tr w:rsidR="001D18C0" w:rsidRPr="009F2DE9" w14:paraId="7ADC2182" w14:textId="08C4649E" w:rsidTr="00D550C6">
        <w:trPr>
          <w:jc w:val="center"/>
        </w:trPr>
        <w:tc>
          <w:tcPr>
            <w:tcW w:w="1213" w:type="dxa"/>
            <w:vAlign w:val="center"/>
          </w:tcPr>
          <w:p w14:paraId="2FD84D9B" w14:textId="77777777" w:rsidR="001D18C0" w:rsidRPr="009F2DE9" w:rsidRDefault="001D18C0" w:rsidP="001D18C0">
            <w:pPr>
              <w:rPr>
                <w:rFonts w:ascii="Arial" w:hAnsi="Arial" w:cs="Arial"/>
                <w:sz w:val="24"/>
                <w:szCs w:val="24"/>
              </w:rPr>
            </w:pPr>
            <w:r w:rsidRPr="009F2DE9">
              <w:rPr>
                <w:rFonts w:ascii="Arial" w:hAnsi="Arial" w:cs="Arial"/>
                <w:sz w:val="24"/>
                <w:szCs w:val="24"/>
              </w:rPr>
              <w:t>Band 7</w:t>
            </w:r>
          </w:p>
        </w:tc>
        <w:tc>
          <w:tcPr>
            <w:tcW w:w="1799" w:type="dxa"/>
            <w:shd w:val="clear" w:color="auto" w:fill="FFFFFF" w:themeFill="background1"/>
            <w:vAlign w:val="center"/>
          </w:tcPr>
          <w:p w14:paraId="182605A8" w14:textId="3CC0D4F0" w:rsidR="001D18C0" w:rsidRPr="009F2DE9" w:rsidRDefault="00305A02" w:rsidP="00305A02">
            <w:pPr>
              <w:jc w:val="center"/>
              <w:rPr>
                <w:rFonts w:ascii="Arial" w:hAnsi="Arial" w:cs="Arial"/>
                <w:sz w:val="24"/>
                <w:szCs w:val="24"/>
              </w:rPr>
            </w:pPr>
            <w:r w:rsidRPr="009F2DE9">
              <w:rPr>
                <w:rFonts w:ascii="Arial" w:hAnsi="Arial" w:cs="Arial"/>
                <w:sz w:val="24"/>
                <w:szCs w:val="24"/>
              </w:rPr>
              <w:t>53.4</w:t>
            </w:r>
            <w:r w:rsidR="001D18C0" w:rsidRPr="009F2DE9">
              <w:rPr>
                <w:rFonts w:ascii="Arial" w:hAnsi="Arial" w:cs="Arial"/>
                <w:sz w:val="24"/>
                <w:szCs w:val="24"/>
              </w:rPr>
              <w:t>%</w:t>
            </w:r>
          </w:p>
        </w:tc>
        <w:tc>
          <w:tcPr>
            <w:tcW w:w="2086" w:type="dxa"/>
            <w:shd w:val="clear" w:color="auto" w:fill="FFFFFF" w:themeFill="background1"/>
            <w:vAlign w:val="center"/>
          </w:tcPr>
          <w:p w14:paraId="579B33D2" w14:textId="57A655C7" w:rsidR="001D18C0" w:rsidRPr="009F2DE9" w:rsidRDefault="00305A02" w:rsidP="00305A02">
            <w:pPr>
              <w:jc w:val="center"/>
              <w:rPr>
                <w:rFonts w:ascii="Arial" w:hAnsi="Arial" w:cs="Arial"/>
                <w:sz w:val="24"/>
                <w:szCs w:val="24"/>
              </w:rPr>
            </w:pPr>
            <w:r w:rsidRPr="009F2DE9">
              <w:rPr>
                <w:rFonts w:ascii="Arial" w:hAnsi="Arial" w:cs="Arial"/>
                <w:sz w:val="24"/>
                <w:szCs w:val="24"/>
              </w:rPr>
              <w:t>44.4</w:t>
            </w:r>
            <w:r w:rsidR="001D18C0" w:rsidRPr="009F2DE9">
              <w:rPr>
                <w:rFonts w:ascii="Arial" w:hAnsi="Arial" w:cs="Arial"/>
                <w:sz w:val="24"/>
                <w:szCs w:val="24"/>
              </w:rPr>
              <w:t>%</w:t>
            </w:r>
          </w:p>
        </w:tc>
        <w:tc>
          <w:tcPr>
            <w:tcW w:w="2694" w:type="dxa"/>
            <w:shd w:val="clear" w:color="auto" w:fill="FFFFFF" w:themeFill="background1"/>
            <w:vAlign w:val="center"/>
          </w:tcPr>
          <w:p w14:paraId="7154AC7B" w14:textId="43AFF4AD" w:rsidR="001D18C0" w:rsidRPr="009F2DE9" w:rsidRDefault="00305A02" w:rsidP="00305A02">
            <w:pPr>
              <w:jc w:val="center"/>
              <w:rPr>
                <w:sz w:val="24"/>
                <w:szCs w:val="24"/>
              </w:rPr>
            </w:pPr>
            <w:r w:rsidRPr="009F2DE9">
              <w:rPr>
                <w:rFonts w:ascii="Arial" w:hAnsi="Arial" w:cs="Arial"/>
                <w:sz w:val="24"/>
                <w:szCs w:val="24"/>
              </w:rPr>
              <w:t>2.2</w:t>
            </w:r>
            <w:r w:rsidR="001D18C0" w:rsidRPr="009F2DE9">
              <w:rPr>
                <w:rFonts w:ascii="Arial" w:hAnsi="Arial" w:cs="Arial"/>
                <w:sz w:val="24"/>
                <w:szCs w:val="24"/>
              </w:rPr>
              <w:t>%</w:t>
            </w:r>
          </w:p>
        </w:tc>
      </w:tr>
      <w:tr w:rsidR="001D18C0" w:rsidRPr="009F2DE9" w14:paraId="7A260B9D" w14:textId="6F319D24" w:rsidTr="00D550C6">
        <w:trPr>
          <w:jc w:val="center"/>
        </w:trPr>
        <w:tc>
          <w:tcPr>
            <w:tcW w:w="1213" w:type="dxa"/>
            <w:vAlign w:val="center"/>
          </w:tcPr>
          <w:p w14:paraId="69FE6F49" w14:textId="77777777" w:rsidR="001D18C0" w:rsidRPr="009F2DE9" w:rsidRDefault="001D18C0" w:rsidP="001D18C0">
            <w:pPr>
              <w:rPr>
                <w:rFonts w:ascii="Arial" w:hAnsi="Arial" w:cs="Arial"/>
                <w:sz w:val="24"/>
                <w:szCs w:val="24"/>
              </w:rPr>
            </w:pPr>
            <w:r w:rsidRPr="009F2DE9">
              <w:rPr>
                <w:rFonts w:ascii="Arial" w:hAnsi="Arial" w:cs="Arial"/>
                <w:sz w:val="24"/>
                <w:szCs w:val="24"/>
              </w:rPr>
              <w:t>Band 8A</w:t>
            </w:r>
          </w:p>
        </w:tc>
        <w:tc>
          <w:tcPr>
            <w:tcW w:w="1799" w:type="dxa"/>
            <w:shd w:val="clear" w:color="auto" w:fill="FFFFFF" w:themeFill="background1"/>
            <w:vAlign w:val="center"/>
          </w:tcPr>
          <w:p w14:paraId="6100357C" w14:textId="041B8132" w:rsidR="001D18C0" w:rsidRPr="009F2DE9" w:rsidRDefault="00305A02" w:rsidP="00305A02">
            <w:pPr>
              <w:jc w:val="center"/>
              <w:rPr>
                <w:rFonts w:ascii="Arial" w:hAnsi="Arial" w:cs="Arial"/>
                <w:sz w:val="24"/>
                <w:szCs w:val="24"/>
              </w:rPr>
            </w:pPr>
            <w:r w:rsidRPr="009F2DE9">
              <w:rPr>
                <w:rFonts w:ascii="Arial" w:hAnsi="Arial" w:cs="Arial"/>
                <w:sz w:val="24"/>
                <w:szCs w:val="24"/>
              </w:rPr>
              <w:t>64.3</w:t>
            </w:r>
            <w:r w:rsidR="001D18C0" w:rsidRPr="009F2DE9">
              <w:rPr>
                <w:rFonts w:ascii="Arial" w:hAnsi="Arial" w:cs="Arial"/>
                <w:sz w:val="24"/>
                <w:szCs w:val="24"/>
              </w:rPr>
              <w:t>%</w:t>
            </w:r>
          </w:p>
        </w:tc>
        <w:tc>
          <w:tcPr>
            <w:tcW w:w="2086" w:type="dxa"/>
            <w:shd w:val="clear" w:color="auto" w:fill="FFFFFF" w:themeFill="background1"/>
            <w:vAlign w:val="center"/>
          </w:tcPr>
          <w:p w14:paraId="2D0B2FC6" w14:textId="31D4947D" w:rsidR="001D18C0" w:rsidRPr="009F2DE9" w:rsidRDefault="00305A02" w:rsidP="00305A02">
            <w:pPr>
              <w:jc w:val="center"/>
              <w:rPr>
                <w:rFonts w:ascii="Arial" w:hAnsi="Arial" w:cs="Arial"/>
                <w:sz w:val="24"/>
                <w:szCs w:val="24"/>
              </w:rPr>
            </w:pPr>
            <w:r w:rsidRPr="009F2DE9">
              <w:rPr>
                <w:rFonts w:ascii="Arial" w:hAnsi="Arial" w:cs="Arial"/>
                <w:sz w:val="24"/>
                <w:szCs w:val="24"/>
              </w:rPr>
              <w:t>27.1</w:t>
            </w:r>
            <w:r w:rsidR="001D18C0" w:rsidRPr="009F2DE9">
              <w:rPr>
                <w:rFonts w:ascii="Arial" w:hAnsi="Arial" w:cs="Arial"/>
                <w:sz w:val="24"/>
                <w:szCs w:val="24"/>
              </w:rPr>
              <w:t>%</w:t>
            </w:r>
          </w:p>
        </w:tc>
        <w:tc>
          <w:tcPr>
            <w:tcW w:w="2694" w:type="dxa"/>
            <w:shd w:val="clear" w:color="auto" w:fill="FFFFFF" w:themeFill="background1"/>
            <w:vAlign w:val="center"/>
          </w:tcPr>
          <w:p w14:paraId="5D666D01" w14:textId="203F03E1" w:rsidR="001D18C0" w:rsidRPr="009F2DE9" w:rsidRDefault="00305A02" w:rsidP="00305A02">
            <w:pPr>
              <w:jc w:val="center"/>
              <w:rPr>
                <w:sz w:val="24"/>
                <w:szCs w:val="24"/>
              </w:rPr>
            </w:pPr>
            <w:r w:rsidRPr="009F2DE9">
              <w:rPr>
                <w:rFonts w:ascii="Arial" w:hAnsi="Arial" w:cs="Arial"/>
                <w:sz w:val="24"/>
                <w:szCs w:val="24"/>
              </w:rPr>
              <w:t>8.56</w:t>
            </w:r>
            <w:r w:rsidR="001D18C0" w:rsidRPr="009F2DE9">
              <w:rPr>
                <w:rFonts w:ascii="Arial" w:hAnsi="Arial" w:cs="Arial"/>
                <w:sz w:val="24"/>
                <w:szCs w:val="24"/>
              </w:rPr>
              <w:t>%</w:t>
            </w:r>
          </w:p>
        </w:tc>
      </w:tr>
      <w:tr w:rsidR="001D18C0" w:rsidRPr="009F2DE9" w14:paraId="6467B60F" w14:textId="27BD0302" w:rsidTr="00D550C6">
        <w:trPr>
          <w:jc w:val="center"/>
        </w:trPr>
        <w:tc>
          <w:tcPr>
            <w:tcW w:w="1213" w:type="dxa"/>
            <w:vAlign w:val="center"/>
          </w:tcPr>
          <w:p w14:paraId="2098857E" w14:textId="77777777" w:rsidR="001D18C0" w:rsidRPr="009F2DE9" w:rsidRDefault="001D18C0" w:rsidP="001D18C0">
            <w:pPr>
              <w:rPr>
                <w:rFonts w:ascii="Arial" w:hAnsi="Arial" w:cs="Arial"/>
                <w:sz w:val="24"/>
                <w:szCs w:val="24"/>
              </w:rPr>
            </w:pPr>
            <w:r w:rsidRPr="009F2DE9">
              <w:rPr>
                <w:rFonts w:ascii="Arial" w:hAnsi="Arial" w:cs="Arial"/>
                <w:sz w:val="24"/>
                <w:szCs w:val="24"/>
              </w:rPr>
              <w:t>Band 8B</w:t>
            </w:r>
          </w:p>
        </w:tc>
        <w:tc>
          <w:tcPr>
            <w:tcW w:w="1799" w:type="dxa"/>
            <w:shd w:val="clear" w:color="auto" w:fill="FFFFFF" w:themeFill="background1"/>
            <w:vAlign w:val="center"/>
          </w:tcPr>
          <w:p w14:paraId="1645E534" w14:textId="3568F6C4" w:rsidR="001D18C0" w:rsidRPr="009F2DE9" w:rsidRDefault="00305A02" w:rsidP="00305A02">
            <w:pPr>
              <w:jc w:val="center"/>
              <w:rPr>
                <w:rFonts w:ascii="Arial" w:hAnsi="Arial" w:cs="Arial"/>
                <w:sz w:val="24"/>
                <w:szCs w:val="24"/>
              </w:rPr>
            </w:pPr>
            <w:r w:rsidRPr="009F2DE9">
              <w:rPr>
                <w:rFonts w:ascii="Arial" w:hAnsi="Arial" w:cs="Arial"/>
                <w:sz w:val="24"/>
                <w:szCs w:val="24"/>
              </w:rPr>
              <w:t>69.4</w:t>
            </w:r>
            <w:r w:rsidR="001D18C0" w:rsidRPr="009F2DE9">
              <w:rPr>
                <w:rFonts w:ascii="Arial" w:hAnsi="Arial" w:cs="Arial"/>
                <w:sz w:val="24"/>
                <w:szCs w:val="24"/>
              </w:rPr>
              <w:t>%</w:t>
            </w:r>
          </w:p>
        </w:tc>
        <w:tc>
          <w:tcPr>
            <w:tcW w:w="2086" w:type="dxa"/>
            <w:shd w:val="clear" w:color="auto" w:fill="FFFFFF" w:themeFill="background1"/>
            <w:vAlign w:val="center"/>
          </w:tcPr>
          <w:p w14:paraId="7A3D41EE" w14:textId="54411F7D" w:rsidR="001D18C0" w:rsidRPr="009F2DE9" w:rsidRDefault="00305A02" w:rsidP="00305A02">
            <w:pPr>
              <w:jc w:val="center"/>
              <w:rPr>
                <w:rFonts w:ascii="Arial" w:hAnsi="Arial" w:cs="Arial"/>
                <w:sz w:val="24"/>
                <w:szCs w:val="24"/>
              </w:rPr>
            </w:pPr>
            <w:r w:rsidRPr="009F2DE9">
              <w:rPr>
                <w:rFonts w:ascii="Arial" w:hAnsi="Arial" w:cs="Arial"/>
                <w:sz w:val="24"/>
                <w:szCs w:val="24"/>
              </w:rPr>
              <w:t>25</w:t>
            </w:r>
            <w:r w:rsidR="001D18C0" w:rsidRPr="009F2DE9">
              <w:rPr>
                <w:rFonts w:ascii="Arial" w:hAnsi="Arial" w:cs="Arial"/>
                <w:sz w:val="24"/>
                <w:szCs w:val="24"/>
              </w:rPr>
              <w:t>%</w:t>
            </w:r>
          </w:p>
        </w:tc>
        <w:tc>
          <w:tcPr>
            <w:tcW w:w="2694" w:type="dxa"/>
            <w:shd w:val="clear" w:color="auto" w:fill="FFFFFF" w:themeFill="background1"/>
            <w:vAlign w:val="center"/>
          </w:tcPr>
          <w:p w14:paraId="19292358" w14:textId="2A3DD947" w:rsidR="001D18C0" w:rsidRPr="009F2DE9" w:rsidRDefault="00305A02" w:rsidP="00305A02">
            <w:pPr>
              <w:jc w:val="center"/>
              <w:rPr>
                <w:sz w:val="24"/>
                <w:szCs w:val="24"/>
              </w:rPr>
            </w:pPr>
            <w:r w:rsidRPr="009F2DE9">
              <w:rPr>
                <w:rFonts w:ascii="Arial" w:hAnsi="Arial" w:cs="Arial"/>
                <w:sz w:val="24"/>
                <w:szCs w:val="24"/>
              </w:rPr>
              <w:t>5.6</w:t>
            </w:r>
            <w:r w:rsidR="001D18C0" w:rsidRPr="009F2DE9">
              <w:rPr>
                <w:rFonts w:ascii="Arial" w:hAnsi="Arial" w:cs="Arial"/>
                <w:sz w:val="24"/>
                <w:szCs w:val="24"/>
              </w:rPr>
              <w:t>%</w:t>
            </w:r>
          </w:p>
        </w:tc>
      </w:tr>
      <w:tr w:rsidR="001D18C0" w:rsidRPr="009F2DE9" w14:paraId="0A61F148" w14:textId="09942AFE" w:rsidTr="00D550C6">
        <w:trPr>
          <w:jc w:val="center"/>
        </w:trPr>
        <w:tc>
          <w:tcPr>
            <w:tcW w:w="1213" w:type="dxa"/>
            <w:vAlign w:val="center"/>
          </w:tcPr>
          <w:p w14:paraId="79C045E5" w14:textId="77777777" w:rsidR="001D18C0" w:rsidRPr="009F2DE9" w:rsidRDefault="001D18C0" w:rsidP="001D18C0">
            <w:pPr>
              <w:rPr>
                <w:rFonts w:ascii="Arial" w:hAnsi="Arial" w:cs="Arial"/>
                <w:sz w:val="24"/>
                <w:szCs w:val="24"/>
              </w:rPr>
            </w:pPr>
            <w:r w:rsidRPr="009F2DE9">
              <w:rPr>
                <w:rFonts w:ascii="Arial" w:hAnsi="Arial" w:cs="Arial"/>
                <w:sz w:val="24"/>
                <w:szCs w:val="24"/>
              </w:rPr>
              <w:t>Band 8C</w:t>
            </w:r>
          </w:p>
        </w:tc>
        <w:tc>
          <w:tcPr>
            <w:tcW w:w="1799" w:type="dxa"/>
            <w:shd w:val="clear" w:color="auto" w:fill="FFFFFF" w:themeFill="background1"/>
            <w:vAlign w:val="center"/>
          </w:tcPr>
          <w:p w14:paraId="60466A56" w14:textId="225B1D32" w:rsidR="001D18C0" w:rsidRPr="009F2DE9" w:rsidRDefault="00305A02" w:rsidP="00305A02">
            <w:pPr>
              <w:jc w:val="center"/>
              <w:rPr>
                <w:rFonts w:ascii="Arial" w:hAnsi="Arial" w:cs="Arial"/>
                <w:sz w:val="24"/>
                <w:szCs w:val="24"/>
              </w:rPr>
            </w:pPr>
            <w:r w:rsidRPr="009F2DE9">
              <w:rPr>
                <w:rFonts w:ascii="Arial" w:hAnsi="Arial" w:cs="Arial"/>
                <w:sz w:val="24"/>
                <w:szCs w:val="24"/>
              </w:rPr>
              <w:t>67.9</w:t>
            </w:r>
            <w:r w:rsidR="001D18C0" w:rsidRPr="009F2DE9">
              <w:rPr>
                <w:rFonts w:ascii="Arial" w:hAnsi="Arial" w:cs="Arial"/>
                <w:sz w:val="24"/>
                <w:szCs w:val="24"/>
              </w:rPr>
              <w:t>%</w:t>
            </w:r>
          </w:p>
        </w:tc>
        <w:tc>
          <w:tcPr>
            <w:tcW w:w="2086" w:type="dxa"/>
            <w:shd w:val="clear" w:color="auto" w:fill="FFFFFF" w:themeFill="background1"/>
            <w:vAlign w:val="center"/>
          </w:tcPr>
          <w:p w14:paraId="4466C38C" w14:textId="0D0DA490" w:rsidR="001D18C0" w:rsidRPr="009F2DE9" w:rsidRDefault="00305A02" w:rsidP="00305A02">
            <w:pPr>
              <w:jc w:val="center"/>
              <w:rPr>
                <w:rFonts w:ascii="Arial" w:hAnsi="Arial" w:cs="Arial"/>
                <w:sz w:val="24"/>
                <w:szCs w:val="24"/>
              </w:rPr>
            </w:pPr>
            <w:r w:rsidRPr="009F2DE9">
              <w:rPr>
                <w:rFonts w:ascii="Arial" w:hAnsi="Arial" w:cs="Arial"/>
                <w:sz w:val="24"/>
                <w:szCs w:val="24"/>
              </w:rPr>
              <w:t>28.6</w:t>
            </w:r>
            <w:r w:rsidR="001D18C0" w:rsidRPr="009F2DE9">
              <w:rPr>
                <w:rFonts w:ascii="Arial" w:hAnsi="Arial" w:cs="Arial"/>
                <w:sz w:val="24"/>
                <w:szCs w:val="24"/>
              </w:rPr>
              <w:t>%</w:t>
            </w:r>
          </w:p>
        </w:tc>
        <w:tc>
          <w:tcPr>
            <w:tcW w:w="2694" w:type="dxa"/>
            <w:shd w:val="clear" w:color="auto" w:fill="FFFFFF" w:themeFill="background1"/>
            <w:vAlign w:val="center"/>
          </w:tcPr>
          <w:p w14:paraId="14421078" w14:textId="6FE93A7F" w:rsidR="001D18C0" w:rsidRPr="009F2DE9" w:rsidRDefault="00305A02" w:rsidP="00305A02">
            <w:pPr>
              <w:jc w:val="center"/>
              <w:rPr>
                <w:sz w:val="24"/>
                <w:szCs w:val="24"/>
              </w:rPr>
            </w:pPr>
            <w:r w:rsidRPr="009F2DE9">
              <w:rPr>
                <w:rFonts w:ascii="Arial" w:hAnsi="Arial" w:cs="Arial"/>
                <w:sz w:val="24"/>
                <w:szCs w:val="24"/>
              </w:rPr>
              <w:t>3.5</w:t>
            </w:r>
            <w:r w:rsidR="001D18C0" w:rsidRPr="009F2DE9">
              <w:rPr>
                <w:rFonts w:ascii="Arial" w:hAnsi="Arial" w:cs="Arial"/>
                <w:sz w:val="24"/>
                <w:szCs w:val="24"/>
              </w:rPr>
              <w:t>%</w:t>
            </w:r>
          </w:p>
        </w:tc>
      </w:tr>
      <w:tr w:rsidR="001D18C0" w:rsidRPr="009F2DE9" w14:paraId="34F69529" w14:textId="77777777" w:rsidTr="00D550C6">
        <w:trPr>
          <w:jc w:val="center"/>
        </w:trPr>
        <w:tc>
          <w:tcPr>
            <w:tcW w:w="1213" w:type="dxa"/>
            <w:vAlign w:val="center"/>
          </w:tcPr>
          <w:p w14:paraId="6A7214E5" w14:textId="77777777" w:rsidR="001D18C0" w:rsidRPr="009F2DE9" w:rsidRDefault="001D18C0" w:rsidP="001D18C0">
            <w:pPr>
              <w:rPr>
                <w:rFonts w:ascii="Arial" w:hAnsi="Arial" w:cs="Arial"/>
                <w:sz w:val="24"/>
                <w:szCs w:val="24"/>
              </w:rPr>
            </w:pPr>
            <w:r w:rsidRPr="009F2DE9">
              <w:rPr>
                <w:rFonts w:ascii="Arial" w:hAnsi="Arial" w:cs="Arial"/>
                <w:sz w:val="24"/>
                <w:szCs w:val="24"/>
              </w:rPr>
              <w:t>Band 8D</w:t>
            </w:r>
          </w:p>
        </w:tc>
        <w:tc>
          <w:tcPr>
            <w:tcW w:w="1799" w:type="dxa"/>
            <w:shd w:val="clear" w:color="auto" w:fill="FFFFFF" w:themeFill="background1"/>
            <w:vAlign w:val="center"/>
          </w:tcPr>
          <w:p w14:paraId="359888CF" w14:textId="1313275A" w:rsidR="001D18C0" w:rsidRPr="009F2DE9" w:rsidRDefault="00305A02" w:rsidP="00305A02">
            <w:pPr>
              <w:jc w:val="center"/>
              <w:rPr>
                <w:rFonts w:ascii="Arial" w:hAnsi="Arial" w:cs="Arial"/>
                <w:sz w:val="24"/>
                <w:szCs w:val="24"/>
              </w:rPr>
            </w:pPr>
            <w:r w:rsidRPr="009F2DE9">
              <w:rPr>
                <w:rFonts w:ascii="Arial" w:hAnsi="Arial" w:cs="Arial"/>
                <w:sz w:val="24"/>
                <w:szCs w:val="24"/>
              </w:rPr>
              <w:t>100</w:t>
            </w:r>
            <w:r w:rsidR="001D18C0" w:rsidRPr="009F2DE9">
              <w:rPr>
                <w:rFonts w:ascii="Arial" w:hAnsi="Arial" w:cs="Arial"/>
                <w:sz w:val="24"/>
                <w:szCs w:val="24"/>
              </w:rPr>
              <w:t>%</w:t>
            </w:r>
          </w:p>
        </w:tc>
        <w:tc>
          <w:tcPr>
            <w:tcW w:w="2086" w:type="dxa"/>
            <w:shd w:val="clear" w:color="auto" w:fill="FFFFFF" w:themeFill="background1"/>
            <w:vAlign w:val="center"/>
          </w:tcPr>
          <w:p w14:paraId="2212EC8C" w14:textId="772B99C1" w:rsidR="001D18C0" w:rsidRPr="009F2DE9" w:rsidRDefault="00305A02" w:rsidP="00305A02">
            <w:pPr>
              <w:jc w:val="center"/>
              <w:rPr>
                <w:rFonts w:ascii="Arial" w:hAnsi="Arial" w:cs="Arial"/>
                <w:sz w:val="24"/>
                <w:szCs w:val="24"/>
              </w:rPr>
            </w:pPr>
            <w:r w:rsidRPr="009F2DE9">
              <w:rPr>
                <w:rFonts w:ascii="Arial" w:hAnsi="Arial" w:cs="Arial"/>
                <w:sz w:val="24"/>
                <w:szCs w:val="24"/>
              </w:rPr>
              <w:t>0</w:t>
            </w:r>
            <w:r w:rsidR="001D18C0" w:rsidRPr="009F2DE9">
              <w:rPr>
                <w:rFonts w:ascii="Arial" w:hAnsi="Arial" w:cs="Arial"/>
                <w:sz w:val="24"/>
                <w:szCs w:val="24"/>
              </w:rPr>
              <w:t>%</w:t>
            </w:r>
          </w:p>
        </w:tc>
        <w:tc>
          <w:tcPr>
            <w:tcW w:w="2694" w:type="dxa"/>
            <w:shd w:val="clear" w:color="auto" w:fill="FFFFFF" w:themeFill="background1"/>
            <w:vAlign w:val="center"/>
          </w:tcPr>
          <w:p w14:paraId="4394932A" w14:textId="5787D8FC" w:rsidR="001D18C0" w:rsidRPr="009F2DE9" w:rsidRDefault="00305A02" w:rsidP="00305A02">
            <w:pPr>
              <w:jc w:val="center"/>
              <w:rPr>
                <w:rFonts w:ascii="Arial" w:hAnsi="Arial" w:cs="Arial"/>
                <w:sz w:val="24"/>
                <w:szCs w:val="24"/>
              </w:rPr>
            </w:pPr>
            <w:r w:rsidRPr="009F2DE9">
              <w:rPr>
                <w:rFonts w:ascii="Arial" w:hAnsi="Arial" w:cs="Arial"/>
                <w:sz w:val="24"/>
                <w:szCs w:val="24"/>
              </w:rPr>
              <w:t>0</w:t>
            </w:r>
            <w:r w:rsidR="001D18C0" w:rsidRPr="009F2DE9">
              <w:rPr>
                <w:rFonts w:ascii="Arial" w:hAnsi="Arial" w:cs="Arial"/>
                <w:sz w:val="24"/>
                <w:szCs w:val="24"/>
              </w:rPr>
              <w:t>%</w:t>
            </w:r>
          </w:p>
        </w:tc>
      </w:tr>
      <w:tr w:rsidR="001D18C0" w:rsidRPr="009F2DE9" w14:paraId="7561ECF6" w14:textId="77777777" w:rsidTr="00D550C6">
        <w:trPr>
          <w:jc w:val="center"/>
        </w:trPr>
        <w:tc>
          <w:tcPr>
            <w:tcW w:w="1213" w:type="dxa"/>
            <w:vAlign w:val="center"/>
          </w:tcPr>
          <w:p w14:paraId="72C51E9B" w14:textId="77777777" w:rsidR="001D18C0" w:rsidRPr="009F2DE9" w:rsidRDefault="001D18C0" w:rsidP="001D18C0">
            <w:pPr>
              <w:rPr>
                <w:rFonts w:ascii="Arial" w:hAnsi="Arial" w:cs="Arial"/>
                <w:sz w:val="24"/>
                <w:szCs w:val="24"/>
              </w:rPr>
            </w:pPr>
            <w:r w:rsidRPr="009F2DE9">
              <w:rPr>
                <w:rFonts w:ascii="Arial" w:hAnsi="Arial" w:cs="Arial"/>
                <w:sz w:val="24"/>
                <w:szCs w:val="24"/>
              </w:rPr>
              <w:t>Band 9</w:t>
            </w:r>
          </w:p>
        </w:tc>
        <w:tc>
          <w:tcPr>
            <w:tcW w:w="1799" w:type="dxa"/>
            <w:shd w:val="clear" w:color="auto" w:fill="FFFFFF" w:themeFill="background1"/>
            <w:vAlign w:val="center"/>
          </w:tcPr>
          <w:p w14:paraId="0F3422E9" w14:textId="515AC2E4" w:rsidR="001D18C0" w:rsidRPr="009F2DE9" w:rsidRDefault="00305A02" w:rsidP="00305A02">
            <w:pPr>
              <w:jc w:val="center"/>
              <w:rPr>
                <w:rFonts w:ascii="Arial" w:hAnsi="Arial" w:cs="Arial"/>
                <w:sz w:val="24"/>
                <w:szCs w:val="24"/>
              </w:rPr>
            </w:pPr>
            <w:r w:rsidRPr="009F2DE9">
              <w:rPr>
                <w:rFonts w:ascii="Arial" w:hAnsi="Arial" w:cs="Arial"/>
                <w:sz w:val="24"/>
                <w:szCs w:val="24"/>
              </w:rPr>
              <w:t>70</w:t>
            </w:r>
            <w:r w:rsidR="001D18C0" w:rsidRPr="009F2DE9">
              <w:rPr>
                <w:rFonts w:ascii="Arial" w:hAnsi="Arial" w:cs="Arial"/>
                <w:sz w:val="24"/>
                <w:szCs w:val="24"/>
              </w:rPr>
              <w:t>%</w:t>
            </w:r>
          </w:p>
        </w:tc>
        <w:tc>
          <w:tcPr>
            <w:tcW w:w="2086" w:type="dxa"/>
            <w:shd w:val="clear" w:color="auto" w:fill="FFFFFF" w:themeFill="background1"/>
            <w:vAlign w:val="center"/>
          </w:tcPr>
          <w:p w14:paraId="5B4FE71A" w14:textId="21F39812" w:rsidR="001D18C0" w:rsidRPr="009F2DE9" w:rsidRDefault="00305A02" w:rsidP="00305A02">
            <w:pPr>
              <w:jc w:val="center"/>
              <w:rPr>
                <w:rFonts w:ascii="Arial" w:hAnsi="Arial" w:cs="Arial"/>
                <w:sz w:val="24"/>
                <w:szCs w:val="24"/>
              </w:rPr>
            </w:pPr>
            <w:r w:rsidRPr="009F2DE9">
              <w:rPr>
                <w:rFonts w:ascii="Arial" w:hAnsi="Arial" w:cs="Arial"/>
                <w:sz w:val="24"/>
                <w:szCs w:val="24"/>
              </w:rPr>
              <w:t>2</w:t>
            </w:r>
            <w:r w:rsidR="001D18C0" w:rsidRPr="009F2DE9">
              <w:rPr>
                <w:rFonts w:ascii="Arial" w:hAnsi="Arial" w:cs="Arial"/>
                <w:sz w:val="24"/>
                <w:szCs w:val="24"/>
              </w:rPr>
              <w:t>0%</w:t>
            </w:r>
          </w:p>
        </w:tc>
        <w:tc>
          <w:tcPr>
            <w:tcW w:w="2694" w:type="dxa"/>
            <w:shd w:val="clear" w:color="auto" w:fill="FFFFFF" w:themeFill="background1"/>
            <w:vAlign w:val="center"/>
          </w:tcPr>
          <w:p w14:paraId="743ECAA8" w14:textId="191DABF4" w:rsidR="001D18C0" w:rsidRPr="009F2DE9" w:rsidRDefault="00305A02" w:rsidP="00305A02">
            <w:pPr>
              <w:jc w:val="center"/>
              <w:rPr>
                <w:rFonts w:ascii="Arial" w:hAnsi="Arial" w:cs="Arial"/>
                <w:sz w:val="24"/>
                <w:szCs w:val="24"/>
              </w:rPr>
            </w:pPr>
            <w:r w:rsidRPr="009F2DE9">
              <w:rPr>
                <w:rFonts w:ascii="Arial" w:hAnsi="Arial" w:cs="Arial"/>
                <w:sz w:val="24"/>
                <w:szCs w:val="24"/>
              </w:rPr>
              <w:t>1</w:t>
            </w:r>
            <w:r w:rsidR="001D18C0" w:rsidRPr="009F2DE9">
              <w:rPr>
                <w:rFonts w:ascii="Arial" w:hAnsi="Arial" w:cs="Arial"/>
                <w:sz w:val="24"/>
                <w:szCs w:val="24"/>
              </w:rPr>
              <w:t>0%</w:t>
            </w:r>
          </w:p>
        </w:tc>
      </w:tr>
      <w:tr w:rsidR="001D18C0" w:rsidRPr="009F2DE9" w14:paraId="29994F26" w14:textId="77777777" w:rsidTr="00D550C6">
        <w:trPr>
          <w:jc w:val="center"/>
        </w:trPr>
        <w:tc>
          <w:tcPr>
            <w:tcW w:w="1213" w:type="dxa"/>
          </w:tcPr>
          <w:p w14:paraId="48CC82B7" w14:textId="5693B924" w:rsidR="001D18C0" w:rsidRPr="009F2DE9" w:rsidRDefault="001D18C0" w:rsidP="001D18C0">
            <w:pPr>
              <w:rPr>
                <w:rFonts w:ascii="Arial" w:hAnsi="Arial" w:cs="Arial"/>
                <w:sz w:val="24"/>
                <w:szCs w:val="24"/>
              </w:rPr>
            </w:pPr>
            <w:r w:rsidRPr="009F2DE9">
              <w:rPr>
                <w:rFonts w:ascii="Arial" w:hAnsi="Arial" w:cs="Arial"/>
                <w:sz w:val="24"/>
                <w:szCs w:val="24"/>
              </w:rPr>
              <w:t>VSM*</w:t>
            </w:r>
          </w:p>
        </w:tc>
        <w:tc>
          <w:tcPr>
            <w:tcW w:w="1799" w:type="dxa"/>
            <w:shd w:val="clear" w:color="auto" w:fill="FFFFFF" w:themeFill="background1"/>
            <w:vAlign w:val="center"/>
          </w:tcPr>
          <w:p w14:paraId="68BF8F4E" w14:textId="362776E3" w:rsidR="001D18C0" w:rsidRPr="009F2DE9" w:rsidRDefault="00305A02" w:rsidP="00305A02">
            <w:pPr>
              <w:jc w:val="center"/>
              <w:rPr>
                <w:rFonts w:ascii="Arial" w:hAnsi="Arial" w:cs="Arial"/>
                <w:sz w:val="24"/>
                <w:szCs w:val="24"/>
              </w:rPr>
            </w:pPr>
            <w:r w:rsidRPr="009F2DE9">
              <w:rPr>
                <w:rFonts w:ascii="Arial" w:hAnsi="Arial" w:cs="Arial"/>
                <w:sz w:val="24"/>
                <w:szCs w:val="24"/>
              </w:rPr>
              <w:t>47.7</w:t>
            </w:r>
            <w:r w:rsidR="001D18C0" w:rsidRPr="009F2DE9">
              <w:rPr>
                <w:rFonts w:ascii="Arial" w:hAnsi="Arial" w:cs="Arial"/>
                <w:sz w:val="24"/>
                <w:szCs w:val="24"/>
              </w:rPr>
              <w:t>%</w:t>
            </w:r>
          </w:p>
        </w:tc>
        <w:tc>
          <w:tcPr>
            <w:tcW w:w="2086" w:type="dxa"/>
            <w:shd w:val="clear" w:color="auto" w:fill="FFFFFF" w:themeFill="background1"/>
            <w:vAlign w:val="center"/>
          </w:tcPr>
          <w:p w14:paraId="741D9163" w14:textId="19FB08B6" w:rsidR="001D18C0" w:rsidRPr="009F2DE9" w:rsidRDefault="00305A02" w:rsidP="00305A02">
            <w:pPr>
              <w:jc w:val="center"/>
              <w:rPr>
                <w:rFonts w:ascii="Arial" w:hAnsi="Arial" w:cs="Arial"/>
                <w:sz w:val="24"/>
                <w:szCs w:val="24"/>
              </w:rPr>
            </w:pPr>
            <w:r w:rsidRPr="009F2DE9">
              <w:rPr>
                <w:rFonts w:ascii="Arial" w:hAnsi="Arial" w:cs="Arial"/>
                <w:sz w:val="24"/>
                <w:szCs w:val="24"/>
              </w:rPr>
              <w:t>9.5</w:t>
            </w:r>
            <w:r w:rsidR="001D18C0" w:rsidRPr="009F2DE9">
              <w:rPr>
                <w:rFonts w:ascii="Arial" w:hAnsi="Arial" w:cs="Arial"/>
                <w:sz w:val="24"/>
                <w:szCs w:val="24"/>
              </w:rPr>
              <w:t>%</w:t>
            </w:r>
          </w:p>
        </w:tc>
        <w:tc>
          <w:tcPr>
            <w:tcW w:w="2694" w:type="dxa"/>
            <w:shd w:val="clear" w:color="auto" w:fill="FFFFFF" w:themeFill="background1"/>
            <w:vAlign w:val="center"/>
          </w:tcPr>
          <w:p w14:paraId="42355171" w14:textId="55E17B56" w:rsidR="001D18C0" w:rsidRPr="009F2DE9" w:rsidRDefault="00305A02" w:rsidP="00305A02">
            <w:pPr>
              <w:jc w:val="center"/>
              <w:rPr>
                <w:rFonts w:ascii="Arial" w:hAnsi="Arial" w:cs="Arial"/>
                <w:sz w:val="24"/>
                <w:szCs w:val="24"/>
              </w:rPr>
            </w:pPr>
            <w:r w:rsidRPr="009F2DE9">
              <w:rPr>
                <w:rFonts w:ascii="Arial" w:hAnsi="Arial" w:cs="Arial"/>
                <w:sz w:val="24"/>
                <w:szCs w:val="24"/>
              </w:rPr>
              <w:t>42.8</w:t>
            </w:r>
            <w:r w:rsidR="001D18C0" w:rsidRPr="009F2DE9">
              <w:rPr>
                <w:rFonts w:ascii="Arial" w:hAnsi="Arial" w:cs="Arial"/>
                <w:sz w:val="24"/>
                <w:szCs w:val="24"/>
              </w:rPr>
              <w:t>%</w:t>
            </w:r>
          </w:p>
        </w:tc>
      </w:tr>
      <w:tr w:rsidR="00977895" w:rsidRPr="009F2DE9" w14:paraId="79A2A9BB" w14:textId="77777777" w:rsidTr="00D550C6">
        <w:trPr>
          <w:jc w:val="center"/>
        </w:trPr>
        <w:tc>
          <w:tcPr>
            <w:tcW w:w="1213" w:type="dxa"/>
          </w:tcPr>
          <w:p w14:paraId="645B9C41" w14:textId="3FABA370" w:rsidR="00977895" w:rsidRPr="009F2DE9" w:rsidRDefault="00977895" w:rsidP="001D18C0">
            <w:pPr>
              <w:rPr>
                <w:rFonts w:ascii="Arial" w:hAnsi="Arial" w:cs="Arial"/>
                <w:sz w:val="24"/>
                <w:szCs w:val="24"/>
              </w:rPr>
            </w:pPr>
            <w:r>
              <w:rPr>
                <w:rFonts w:ascii="Arial" w:hAnsi="Arial" w:cs="Arial"/>
                <w:sz w:val="24"/>
                <w:szCs w:val="24"/>
              </w:rPr>
              <w:t xml:space="preserve">Other </w:t>
            </w:r>
          </w:p>
        </w:tc>
        <w:tc>
          <w:tcPr>
            <w:tcW w:w="1799" w:type="dxa"/>
            <w:shd w:val="clear" w:color="auto" w:fill="FFFFFF" w:themeFill="background1"/>
            <w:vAlign w:val="center"/>
          </w:tcPr>
          <w:p w14:paraId="298665C5" w14:textId="0348A492" w:rsidR="00977895" w:rsidRPr="009F2DE9" w:rsidRDefault="00977895" w:rsidP="00305A02">
            <w:pPr>
              <w:jc w:val="center"/>
              <w:rPr>
                <w:rFonts w:ascii="Arial" w:hAnsi="Arial" w:cs="Arial"/>
                <w:sz w:val="24"/>
                <w:szCs w:val="24"/>
              </w:rPr>
            </w:pPr>
            <w:r>
              <w:rPr>
                <w:rFonts w:ascii="Arial" w:hAnsi="Arial" w:cs="Arial"/>
                <w:sz w:val="24"/>
                <w:szCs w:val="24"/>
              </w:rPr>
              <w:t>28.6%</w:t>
            </w:r>
          </w:p>
        </w:tc>
        <w:tc>
          <w:tcPr>
            <w:tcW w:w="2086" w:type="dxa"/>
            <w:shd w:val="clear" w:color="auto" w:fill="FFFFFF" w:themeFill="background1"/>
            <w:vAlign w:val="center"/>
          </w:tcPr>
          <w:p w14:paraId="23FB0F95" w14:textId="6DB91B84" w:rsidR="00977895" w:rsidRPr="009F2DE9" w:rsidRDefault="00977895" w:rsidP="00305A02">
            <w:pPr>
              <w:jc w:val="center"/>
              <w:rPr>
                <w:rFonts w:ascii="Arial" w:hAnsi="Arial" w:cs="Arial"/>
                <w:sz w:val="24"/>
                <w:szCs w:val="24"/>
              </w:rPr>
            </w:pPr>
            <w:r>
              <w:rPr>
                <w:rFonts w:ascii="Arial" w:hAnsi="Arial" w:cs="Arial"/>
                <w:sz w:val="24"/>
                <w:szCs w:val="24"/>
              </w:rPr>
              <w:t>21.4%</w:t>
            </w:r>
          </w:p>
        </w:tc>
        <w:tc>
          <w:tcPr>
            <w:tcW w:w="2694" w:type="dxa"/>
            <w:shd w:val="clear" w:color="auto" w:fill="FFFFFF" w:themeFill="background1"/>
            <w:vAlign w:val="center"/>
          </w:tcPr>
          <w:p w14:paraId="719198DF" w14:textId="6B2F1223" w:rsidR="00977895" w:rsidRPr="009F2DE9" w:rsidRDefault="00977895" w:rsidP="00305A02">
            <w:pPr>
              <w:jc w:val="center"/>
              <w:rPr>
                <w:rFonts w:ascii="Arial" w:hAnsi="Arial" w:cs="Arial"/>
                <w:sz w:val="24"/>
                <w:szCs w:val="24"/>
              </w:rPr>
            </w:pPr>
            <w:r>
              <w:rPr>
                <w:rFonts w:ascii="Arial" w:hAnsi="Arial" w:cs="Arial"/>
                <w:sz w:val="24"/>
                <w:szCs w:val="24"/>
              </w:rPr>
              <w:t>50%</w:t>
            </w:r>
          </w:p>
        </w:tc>
      </w:tr>
      <w:tr w:rsidR="001D18C0" w:rsidRPr="009F2DE9" w14:paraId="62D2C80D" w14:textId="77777777" w:rsidTr="00D550C6">
        <w:trPr>
          <w:jc w:val="center"/>
        </w:trPr>
        <w:tc>
          <w:tcPr>
            <w:tcW w:w="1213" w:type="dxa"/>
          </w:tcPr>
          <w:p w14:paraId="797E1AC0" w14:textId="77777777" w:rsidR="001D18C0" w:rsidRPr="009F2DE9" w:rsidRDefault="001D18C0" w:rsidP="001D18C0">
            <w:pPr>
              <w:rPr>
                <w:rFonts w:ascii="Arial" w:hAnsi="Arial" w:cs="Arial"/>
                <w:b/>
                <w:bCs/>
                <w:sz w:val="24"/>
                <w:szCs w:val="24"/>
              </w:rPr>
            </w:pPr>
            <w:r w:rsidRPr="009F2DE9">
              <w:rPr>
                <w:rFonts w:ascii="Arial" w:hAnsi="Arial" w:cs="Arial"/>
                <w:b/>
                <w:bCs/>
                <w:sz w:val="24"/>
                <w:szCs w:val="24"/>
              </w:rPr>
              <w:t>Total</w:t>
            </w:r>
          </w:p>
        </w:tc>
        <w:tc>
          <w:tcPr>
            <w:tcW w:w="1799" w:type="dxa"/>
            <w:shd w:val="clear" w:color="auto" w:fill="F2F2F2" w:themeFill="background1" w:themeFillShade="F2"/>
            <w:vAlign w:val="center"/>
          </w:tcPr>
          <w:p w14:paraId="75D52F8F" w14:textId="4CF323C8" w:rsidR="001D18C0" w:rsidRPr="009F2DE9" w:rsidRDefault="00977895" w:rsidP="00305A02">
            <w:pPr>
              <w:jc w:val="center"/>
              <w:rPr>
                <w:rFonts w:ascii="Arial" w:hAnsi="Arial" w:cs="Arial"/>
                <w:b/>
                <w:bCs/>
                <w:sz w:val="24"/>
                <w:szCs w:val="24"/>
              </w:rPr>
            </w:pPr>
            <w:r>
              <w:rPr>
                <w:rFonts w:ascii="Arial" w:hAnsi="Arial" w:cs="Arial"/>
                <w:b/>
                <w:bCs/>
                <w:sz w:val="24"/>
                <w:szCs w:val="24"/>
              </w:rPr>
              <w:t>57.8%</w:t>
            </w:r>
          </w:p>
        </w:tc>
        <w:tc>
          <w:tcPr>
            <w:tcW w:w="2086" w:type="dxa"/>
            <w:shd w:val="clear" w:color="auto" w:fill="F2F2F2" w:themeFill="background1" w:themeFillShade="F2"/>
            <w:vAlign w:val="center"/>
          </w:tcPr>
          <w:p w14:paraId="08CD2BA6" w14:textId="484E772E" w:rsidR="001D18C0" w:rsidRPr="009F2DE9" w:rsidRDefault="00977895" w:rsidP="00305A02">
            <w:pPr>
              <w:jc w:val="center"/>
              <w:rPr>
                <w:rFonts w:ascii="Arial" w:hAnsi="Arial" w:cs="Arial"/>
                <w:b/>
                <w:bCs/>
                <w:sz w:val="24"/>
                <w:szCs w:val="24"/>
              </w:rPr>
            </w:pPr>
            <w:r>
              <w:rPr>
                <w:rFonts w:ascii="Arial" w:hAnsi="Arial" w:cs="Arial"/>
                <w:b/>
                <w:bCs/>
                <w:sz w:val="24"/>
                <w:szCs w:val="24"/>
              </w:rPr>
              <w:t>31.6%</w:t>
            </w:r>
          </w:p>
        </w:tc>
        <w:tc>
          <w:tcPr>
            <w:tcW w:w="2694" w:type="dxa"/>
            <w:shd w:val="clear" w:color="auto" w:fill="F2F2F2" w:themeFill="background1" w:themeFillShade="F2"/>
            <w:vAlign w:val="center"/>
          </w:tcPr>
          <w:p w14:paraId="009EA9AC" w14:textId="5D5F4B6E" w:rsidR="001D18C0" w:rsidRPr="009F2DE9" w:rsidRDefault="00977895" w:rsidP="00305A02">
            <w:pPr>
              <w:jc w:val="center"/>
              <w:rPr>
                <w:rFonts w:ascii="Arial" w:hAnsi="Arial" w:cs="Arial"/>
                <w:b/>
                <w:bCs/>
                <w:sz w:val="24"/>
                <w:szCs w:val="24"/>
              </w:rPr>
            </w:pPr>
            <w:r>
              <w:rPr>
                <w:rFonts w:ascii="Arial" w:hAnsi="Arial" w:cs="Arial"/>
                <w:b/>
                <w:bCs/>
                <w:sz w:val="24"/>
                <w:szCs w:val="24"/>
              </w:rPr>
              <w:t>10.6%</w:t>
            </w:r>
          </w:p>
        </w:tc>
      </w:tr>
    </w:tbl>
    <w:p w14:paraId="0E136992" w14:textId="24ACD5D4" w:rsidR="0012376B" w:rsidRPr="009F2DE9" w:rsidRDefault="00B4296E" w:rsidP="007D7C06">
      <w:pPr>
        <w:pStyle w:val="NoSpacing"/>
        <w:rPr>
          <w:rFonts w:ascii="Arial" w:hAnsi="Arial" w:cs="Arial"/>
          <w:b/>
          <w:bCs/>
          <w:sz w:val="24"/>
          <w:szCs w:val="24"/>
        </w:rPr>
      </w:pPr>
      <w:r w:rsidRPr="00212D76">
        <w:rPr>
          <w:rFonts w:ascii="Arial" w:hAnsi="Arial" w:cs="Arial"/>
          <w:b/>
          <w:bCs/>
          <w:sz w:val="20"/>
          <w:szCs w:val="20"/>
        </w:rPr>
        <w:t>VSM includes senior employees that are</w:t>
      </w:r>
      <w:r w:rsidR="00C43A49" w:rsidRPr="00212D76">
        <w:rPr>
          <w:rFonts w:ascii="Arial" w:hAnsi="Arial" w:cs="Arial"/>
          <w:b/>
          <w:bCs/>
          <w:sz w:val="20"/>
          <w:szCs w:val="20"/>
        </w:rPr>
        <w:t xml:space="preserve"> not</w:t>
      </w:r>
      <w:r w:rsidRPr="00212D76">
        <w:rPr>
          <w:rFonts w:ascii="Arial" w:hAnsi="Arial" w:cs="Arial"/>
          <w:b/>
          <w:bCs/>
          <w:sz w:val="20"/>
          <w:szCs w:val="20"/>
        </w:rPr>
        <w:t xml:space="preserve"> on Agenda for Change pay</w:t>
      </w:r>
      <w:r w:rsidR="000D1384" w:rsidRPr="00212D76">
        <w:rPr>
          <w:rFonts w:ascii="Arial" w:hAnsi="Arial" w:cs="Arial"/>
          <w:b/>
          <w:bCs/>
          <w:sz w:val="20"/>
          <w:szCs w:val="20"/>
        </w:rPr>
        <w:t xml:space="preserve"> </w:t>
      </w:r>
      <w:r w:rsidRPr="00212D76">
        <w:rPr>
          <w:rFonts w:ascii="Arial" w:hAnsi="Arial" w:cs="Arial"/>
          <w:b/>
          <w:bCs/>
          <w:sz w:val="20"/>
          <w:szCs w:val="20"/>
        </w:rPr>
        <w:t xml:space="preserve">bands and includes </w:t>
      </w:r>
      <w:r w:rsidR="0012376B" w:rsidRPr="00212D76">
        <w:rPr>
          <w:rFonts w:ascii="Arial" w:hAnsi="Arial" w:cs="Arial"/>
          <w:b/>
          <w:bCs/>
          <w:sz w:val="20"/>
          <w:szCs w:val="20"/>
        </w:rPr>
        <w:t xml:space="preserve">other </w:t>
      </w:r>
      <w:r w:rsidRPr="00212D76">
        <w:rPr>
          <w:rFonts w:ascii="Arial" w:hAnsi="Arial" w:cs="Arial"/>
          <w:b/>
          <w:bCs/>
          <w:sz w:val="20"/>
          <w:szCs w:val="20"/>
        </w:rPr>
        <w:t>Governing Body members</w:t>
      </w:r>
      <w:r w:rsidR="0012376B" w:rsidRPr="00212D76">
        <w:rPr>
          <w:rFonts w:ascii="Arial" w:hAnsi="Arial" w:cs="Arial"/>
          <w:b/>
          <w:bCs/>
          <w:sz w:val="20"/>
          <w:szCs w:val="20"/>
        </w:rPr>
        <w:t xml:space="preserve"> who are not banded</w:t>
      </w:r>
      <w:r w:rsidRPr="009F2DE9">
        <w:rPr>
          <w:rFonts w:ascii="Arial" w:hAnsi="Arial" w:cs="Arial"/>
          <w:b/>
          <w:bCs/>
          <w:sz w:val="24"/>
          <w:szCs w:val="24"/>
        </w:rPr>
        <w:t>.</w:t>
      </w:r>
    </w:p>
    <w:p w14:paraId="70C1C994" w14:textId="77777777" w:rsidR="00212D76" w:rsidRPr="009F2DE9" w:rsidRDefault="00212D76" w:rsidP="00C43A49">
      <w:pPr>
        <w:pStyle w:val="NoSpacing"/>
        <w:rPr>
          <w:rFonts w:ascii="Arial" w:hAnsi="Arial" w:cs="Arial"/>
          <w:b/>
          <w:bCs/>
          <w:sz w:val="24"/>
          <w:szCs w:val="24"/>
        </w:rPr>
      </w:pPr>
    </w:p>
    <w:p w14:paraId="27FADA6D" w14:textId="19C5B326" w:rsidR="000D3247" w:rsidRDefault="000D3247" w:rsidP="00C43A49">
      <w:pPr>
        <w:pStyle w:val="NoSpacing"/>
        <w:rPr>
          <w:rFonts w:ascii="Arial" w:hAnsi="Arial" w:cs="Arial"/>
          <w:sz w:val="24"/>
          <w:szCs w:val="24"/>
        </w:rPr>
      </w:pPr>
    </w:p>
    <w:p w14:paraId="5D274A34" w14:textId="4ABE289D" w:rsidR="006800C9" w:rsidRPr="006800C9" w:rsidRDefault="006800C9" w:rsidP="00C43A49">
      <w:pPr>
        <w:pStyle w:val="NoSpacing"/>
        <w:rPr>
          <w:rFonts w:ascii="Arial" w:hAnsi="Arial" w:cs="Arial"/>
          <w:b/>
          <w:bCs/>
          <w:sz w:val="24"/>
          <w:szCs w:val="24"/>
        </w:rPr>
      </w:pPr>
      <w:r w:rsidRPr="006800C9">
        <w:rPr>
          <w:rFonts w:ascii="Arial" w:hAnsi="Arial" w:cs="Arial"/>
          <w:b/>
          <w:bCs/>
          <w:sz w:val="24"/>
          <w:szCs w:val="24"/>
        </w:rPr>
        <w:t>Analysis of Indicator 1.</w:t>
      </w:r>
    </w:p>
    <w:p w14:paraId="19C58CFB" w14:textId="77777777" w:rsidR="006800C9" w:rsidRDefault="006800C9" w:rsidP="00C43A49">
      <w:pPr>
        <w:pStyle w:val="NoSpacing"/>
        <w:rPr>
          <w:rFonts w:ascii="Arial" w:hAnsi="Arial" w:cs="Arial"/>
          <w:sz w:val="24"/>
          <w:szCs w:val="24"/>
        </w:rPr>
      </w:pPr>
    </w:p>
    <w:p w14:paraId="52F1D10E" w14:textId="25626EFD" w:rsidR="006800C9" w:rsidRPr="006800C9" w:rsidRDefault="00147FC3">
      <w:pPr>
        <w:pStyle w:val="ListParagraph"/>
        <w:numPr>
          <w:ilvl w:val="0"/>
          <w:numId w:val="12"/>
        </w:numPr>
        <w:rPr>
          <w:rFonts w:ascii="Arial" w:hAnsi="Arial" w:cs="Arial"/>
          <w:sz w:val="24"/>
          <w:szCs w:val="24"/>
        </w:rPr>
      </w:pPr>
      <w:r>
        <w:rPr>
          <w:rFonts w:ascii="Arial" w:hAnsi="Arial" w:cs="Arial"/>
          <w:sz w:val="24"/>
          <w:szCs w:val="24"/>
        </w:rPr>
        <w:t>BME</w:t>
      </w:r>
      <w:r w:rsidR="006800C9" w:rsidRPr="006800C9">
        <w:rPr>
          <w:rFonts w:ascii="Arial" w:hAnsi="Arial" w:cs="Arial"/>
          <w:sz w:val="24"/>
          <w:szCs w:val="24"/>
        </w:rPr>
        <w:t xml:space="preserve"> Representation of total staff in Bands </w:t>
      </w:r>
      <w:r w:rsidR="000D5C5D">
        <w:rPr>
          <w:rFonts w:ascii="Arial" w:hAnsi="Arial" w:cs="Arial"/>
          <w:sz w:val="24"/>
          <w:szCs w:val="24"/>
        </w:rPr>
        <w:t xml:space="preserve">Under </w:t>
      </w:r>
      <w:r w:rsidR="006800C9" w:rsidRPr="006800C9">
        <w:rPr>
          <w:rFonts w:ascii="Arial" w:hAnsi="Arial" w:cs="Arial"/>
          <w:sz w:val="24"/>
          <w:szCs w:val="24"/>
        </w:rPr>
        <w:t>1-6 is</w:t>
      </w:r>
      <w:r w:rsidR="000D5C5D">
        <w:rPr>
          <w:rFonts w:ascii="Arial" w:hAnsi="Arial" w:cs="Arial"/>
          <w:sz w:val="24"/>
          <w:szCs w:val="24"/>
        </w:rPr>
        <w:t xml:space="preserve"> 40.4</w:t>
      </w:r>
      <w:r w:rsidR="006800C9" w:rsidRPr="006800C9">
        <w:rPr>
          <w:rFonts w:ascii="Arial" w:hAnsi="Arial" w:cs="Arial"/>
          <w:sz w:val="24"/>
          <w:szCs w:val="24"/>
        </w:rPr>
        <w:t xml:space="preserve"> %</w:t>
      </w:r>
    </w:p>
    <w:p w14:paraId="21EDD5D0" w14:textId="51EBF63B" w:rsidR="006800C9" w:rsidRPr="006800C9" w:rsidRDefault="00147FC3">
      <w:pPr>
        <w:pStyle w:val="ListParagraph"/>
        <w:numPr>
          <w:ilvl w:val="0"/>
          <w:numId w:val="12"/>
        </w:numPr>
        <w:rPr>
          <w:rFonts w:ascii="Arial" w:hAnsi="Arial" w:cs="Arial"/>
          <w:sz w:val="24"/>
          <w:szCs w:val="24"/>
        </w:rPr>
      </w:pPr>
      <w:r>
        <w:rPr>
          <w:rFonts w:ascii="Arial" w:hAnsi="Arial" w:cs="Arial"/>
          <w:sz w:val="24"/>
          <w:szCs w:val="24"/>
        </w:rPr>
        <w:t>BME</w:t>
      </w:r>
      <w:r w:rsidR="006800C9" w:rsidRPr="006800C9">
        <w:rPr>
          <w:rFonts w:ascii="Arial" w:hAnsi="Arial" w:cs="Arial"/>
          <w:sz w:val="24"/>
          <w:szCs w:val="24"/>
        </w:rPr>
        <w:t xml:space="preserve"> Representation of total staff in Bands 7 – 8C is </w:t>
      </w:r>
      <w:r w:rsidR="000D5C5D">
        <w:rPr>
          <w:rFonts w:ascii="Arial" w:hAnsi="Arial" w:cs="Arial"/>
          <w:sz w:val="24"/>
          <w:szCs w:val="24"/>
        </w:rPr>
        <w:t>31.3</w:t>
      </w:r>
      <w:r w:rsidR="006800C9" w:rsidRPr="006800C9">
        <w:rPr>
          <w:rFonts w:ascii="Arial" w:hAnsi="Arial" w:cs="Arial"/>
          <w:sz w:val="24"/>
          <w:szCs w:val="24"/>
        </w:rPr>
        <w:t>%</w:t>
      </w:r>
    </w:p>
    <w:p w14:paraId="3C304A3B" w14:textId="6F135D6E" w:rsidR="006800C9" w:rsidRDefault="00147FC3">
      <w:pPr>
        <w:pStyle w:val="ListParagraph"/>
        <w:numPr>
          <w:ilvl w:val="0"/>
          <w:numId w:val="12"/>
        </w:numPr>
        <w:rPr>
          <w:rFonts w:ascii="Arial" w:hAnsi="Arial" w:cs="Arial"/>
          <w:sz w:val="24"/>
          <w:szCs w:val="24"/>
        </w:rPr>
      </w:pPr>
      <w:r>
        <w:rPr>
          <w:rFonts w:ascii="Arial" w:hAnsi="Arial" w:cs="Arial"/>
          <w:sz w:val="24"/>
          <w:szCs w:val="24"/>
        </w:rPr>
        <w:t>BME</w:t>
      </w:r>
      <w:r w:rsidR="006800C9" w:rsidRPr="006800C9">
        <w:rPr>
          <w:rFonts w:ascii="Arial" w:hAnsi="Arial" w:cs="Arial"/>
          <w:sz w:val="24"/>
          <w:szCs w:val="24"/>
        </w:rPr>
        <w:t xml:space="preserve"> Representation of total staff in Bands 8D, 9 and VSM is</w:t>
      </w:r>
      <w:r w:rsidR="000D5C5D">
        <w:rPr>
          <w:rFonts w:ascii="Arial" w:hAnsi="Arial" w:cs="Arial"/>
          <w:sz w:val="24"/>
          <w:szCs w:val="24"/>
        </w:rPr>
        <w:t xml:space="preserve"> 10.8</w:t>
      </w:r>
      <w:r w:rsidR="006800C9" w:rsidRPr="006800C9">
        <w:rPr>
          <w:rFonts w:ascii="Arial" w:hAnsi="Arial" w:cs="Arial"/>
          <w:sz w:val="24"/>
          <w:szCs w:val="24"/>
        </w:rPr>
        <w:t>%</w:t>
      </w:r>
    </w:p>
    <w:p w14:paraId="54F43474" w14:textId="65A2B48C" w:rsidR="000D5C5D" w:rsidRDefault="000D5C5D">
      <w:pPr>
        <w:pStyle w:val="ListParagraph"/>
        <w:numPr>
          <w:ilvl w:val="0"/>
          <w:numId w:val="12"/>
        </w:numPr>
        <w:rPr>
          <w:rFonts w:ascii="Arial" w:hAnsi="Arial" w:cs="Arial"/>
          <w:sz w:val="24"/>
          <w:szCs w:val="24"/>
        </w:rPr>
      </w:pPr>
      <w:r>
        <w:rPr>
          <w:rFonts w:ascii="Arial" w:hAnsi="Arial" w:cs="Arial"/>
          <w:sz w:val="24"/>
          <w:szCs w:val="24"/>
        </w:rPr>
        <w:t>BME Representation of total staff in “Other Bands” is 21.4%</w:t>
      </w:r>
    </w:p>
    <w:p w14:paraId="0A0DF385" w14:textId="18E92DBB" w:rsidR="003A0986" w:rsidRDefault="003A0986" w:rsidP="003A0986">
      <w:pPr>
        <w:rPr>
          <w:rFonts w:ascii="Arial" w:hAnsi="Arial" w:cs="Arial"/>
          <w:sz w:val="24"/>
          <w:szCs w:val="24"/>
        </w:rPr>
      </w:pPr>
      <w:r>
        <w:rPr>
          <w:rFonts w:ascii="Arial" w:hAnsi="Arial" w:cs="Arial"/>
          <w:sz w:val="24"/>
          <w:szCs w:val="24"/>
        </w:rPr>
        <w:t xml:space="preserve">The figures indicate that </w:t>
      </w:r>
      <w:r w:rsidR="00147FC3">
        <w:rPr>
          <w:rFonts w:ascii="Arial" w:hAnsi="Arial" w:cs="Arial"/>
          <w:sz w:val="24"/>
          <w:szCs w:val="24"/>
        </w:rPr>
        <w:t>BME</w:t>
      </w:r>
      <w:r>
        <w:rPr>
          <w:rFonts w:ascii="Arial" w:hAnsi="Arial" w:cs="Arial"/>
          <w:sz w:val="24"/>
          <w:szCs w:val="24"/>
        </w:rPr>
        <w:t xml:space="preserve"> staff are represented less at the higher band</w:t>
      </w:r>
      <w:r w:rsidR="00647A28">
        <w:rPr>
          <w:rFonts w:ascii="Arial" w:hAnsi="Arial" w:cs="Arial"/>
          <w:sz w:val="24"/>
          <w:szCs w:val="24"/>
        </w:rPr>
        <w:t>s</w:t>
      </w:r>
      <w:r>
        <w:rPr>
          <w:rFonts w:ascii="Arial" w:hAnsi="Arial" w:cs="Arial"/>
          <w:sz w:val="24"/>
          <w:szCs w:val="24"/>
        </w:rPr>
        <w:t xml:space="preserve"> compared to the lower and middle</w:t>
      </w:r>
      <w:r w:rsidR="00147FC3">
        <w:rPr>
          <w:rFonts w:ascii="Arial" w:hAnsi="Arial" w:cs="Arial"/>
          <w:sz w:val="24"/>
          <w:szCs w:val="24"/>
        </w:rPr>
        <w:t xml:space="preserve"> bands</w:t>
      </w:r>
      <w:r>
        <w:rPr>
          <w:rFonts w:ascii="Arial" w:hAnsi="Arial" w:cs="Arial"/>
          <w:sz w:val="24"/>
          <w:szCs w:val="24"/>
        </w:rPr>
        <w:t>.</w:t>
      </w:r>
    </w:p>
    <w:p w14:paraId="0FC853C8" w14:textId="77777777" w:rsidR="00F34B47" w:rsidRDefault="00F34B47" w:rsidP="003A0986">
      <w:pPr>
        <w:rPr>
          <w:rFonts w:ascii="Arial" w:hAnsi="Arial" w:cs="Arial"/>
          <w:sz w:val="24"/>
          <w:szCs w:val="24"/>
        </w:rPr>
      </w:pPr>
    </w:p>
    <w:p w14:paraId="7C4ADE84" w14:textId="77777777" w:rsidR="00AC4F3B" w:rsidRDefault="00AC4F3B" w:rsidP="003A0986">
      <w:pPr>
        <w:rPr>
          <w:rFonts w:ascii="Arial" w:hAnsi="Arial" w:cs="Arial"/>
          <w:sz w:val="24"/>
          <w:szCs w:val="24"/>
        </w:rPr>
      </w:pPr>
    </w:p>
    <w:p w14:paraId="5245A71C" w14:textId="77777777" w:rsidR="00AC4F3B" w:rsidRDefault="00AC4F3B" w:rsidP="003A0986">
      <w:pPr>
        <w:rPr>
          <w:rFonts w:ascii="Arial" w:hAnsi="Arial" w:cs="Arial"/>
          <w:sz w:val="24"/>
          <w:szCs w:val="24"/>
        </w:rPr>
      </w:pPr>
    </w:p>
    <w:p w14:paraId="52753CE0" w14:textId="398F084C" w:rsidR="00960BD2" w:rsidRPr="009F2DE9" w:rsidRDefault="00960BD2" w:rsidP="0076459F">
      <w:pPr>
        <w:pStyle w:val="NoSpacing"/>
        <w:numPr>
          <w:ilvl w:val="0"/>
          <w:numId w:val="2"/>
        </w:numPr>
        <w:rPr>
          <w:rFonts w:ascii="Arial" w:hAnsi="Arial" w:cs="Arial"/>
          <w:b/>
          <w:bCs/>
          <w:sz w:val="24"/>
          <w:szCs w:val="24"/>
        </w:rPr>
      </w:pPr>
      <w:r w:rsidRPr="009F2DE9">
        <w:rPr>
          <w:rFonts w:ascii="Arial" w:hAnsi="Arial" w:cs="Arial"/>
          <w:b/>
          <w:bCs/>
          <w:sz w:val="24"/>
          <w:szCs w:val="24"/>
        </w:rPr>
        <w:lastRenderedPageBreak/>
        <w:t>WRES Indicator 2: Relative likelihood of staff being appointed from shortlisting across all posts</w:t>
      </w:r>
      <w:r w:rsidR="004A417E">
        <w:rPr>
          <w:rFonts w:ascii="Arial" w:hAnsi="Arial" w:cs="Arial"/>
          <w:b/>
          <w:bCs/>
          <w:sz w:val="24"/>
          <w:szCs w:val="24"/>
        </w:rPr>
        <w:t>.</w:t>
      </w:r>
    </w:p>
    <w:p w14:paraId="2F3A22AF" w14:textId="77777777" w:rsidR="00390AAE" w:rsidRPr="009F2DE9" w:rsidRDefault="00390AAE" w:rsidP="007D7C06">
      <w:pPr>
        <w:spacing w:after="0" w:line="240" w:lineRule="auto"/>
        <w:ind w:left="-142" w:firstLine="142"/>
        <w:rPr>
          <w:rFonts w:ascii="Arial" w:hAnsi="Arial" w:cs="Arial"/>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66"/>
        <w:gridCol w:w="1589"/>
        <w:gridCol w:w="1245"/>
        <w:gridCol w:w="2248"/>
      </w:tblGrid>
      <w:tr w:rsidR="006E1211" w:rsidRPr="009F2DE9" w14:paraId="03A0EEC2" w14:textId="77777777" w:rsidTr="007D7C06">
        <w:trPr>
          <w:jc w:val="center"/>
        </w:trPr>
        <w:tc>
          <w:tcPr>
            <w:tcW w:w="3566" w:type="dxa"/>
            <w:vMerge w:val="restart"/>
            <w:shd w:val="clear" w:color="auto" w:fill="C6D9F1" w:themeFill="text2" w:themeFillTint="33"/>
          </w:tcPr>
          <w:p w14:paraId="64516BB0" w14:textId="77777777" w:rsidR="006E1211" w:rsidRPr="009F2DE9" w:rsidRDefault="006E1211" w:rsidP="00CD2E09">
            <w:pPr>
              <w:rPr>
                <w:rFonts w:ascii="Arial" w:hAnsi="Arial" w:cs="Arial"/>
                <w:sz w:val="24"/>
                <w:szCs w:val="24"/>
              </w:rPr>
            </w:pPr>
          </w:p>
        </w:tc>
        <w:tc>
          <w:tcPr>
            <w:tcW w:w="1589" w:type="dxa"/>
            <w:shd w:val="clear" w:color="auto" w:fill="C6D9F1" w:themeFill="text2" w:themeFillTint="33"/>
            <w:vAlign w:val="center"/>
          </w:tcPr>
          <w:p w14:paraId="229D3028" w14:textId="77777777" w:rsidR="006E1211" w:rsidRPr="009F2DE9" w:rsidRDefault="006E1211" w:rsidP="00CD2E09">
            <w:pPr>
              <w:jc w:val="center"/>
              <w:rPr>
                <w:rFonts w:ascii="Arial" w:hAnsi="Arial" w:cs="Arial"/>
                <w:b/>
                <w:bCs/>
                <w:sz w:val="24"/>
                <w:szCs w:val="24"/>
              </w:rPr>
            </w:pPr>
            <w:r w:rsidRPr="009F2DE9">
              <w:rPr>
                <w:rFonts w:ascii="Arial" w:hAnsi="Arial" w:cs="Arial"/>
                <w:b/>
                <w:bCs/>
                <w:sz w:val="24"/>
                <w:szCs w:val="24"/>
              </w:rPr>
              <w:t>White</w:t>
            </w:r>
          </w:p>
        </w:tc>
        <w:tc>
          <w:tcPr>
            <w:tcW w:w="1245" w:type="dxa"/>
            <w:shd w:val="clear" w:color="auto" w:fill="C6D9F1" w:themeFill="text2" w:themeFillTint="33"/>
          </w:tcPr>
          <w:p w14:paraId="02CD3467" w14:textId="1E3DDBC4" w:rsidR="006E1211" w:rsidRPr="009F2DE9" w:rsidRDefault="00147FC3" w:rsidP="00CD2E09">
            <w:pPr>
              <w:jc w:val="center"/>
              <w:rPr>
                <w:rFonts w:ascii="Arial" w:hAnsi="Arial" w:cs="Arial"/>
                <w:b/>
                <w:bCs/>
                <w:sz w:val="24"/>
                <w:szCs w:val="24"/>
              </w:rPr>
            </w:pPr>
            <w:r>
              <w:rPr>
                <w:rFonts w:ascii="Arial" w:hAnsi="Arial" w:cs="Arial"/>
                <w:b/>
                <w:bCs/>
                <w:sz w:val="24"/>
                <w:szCs w:val="24"/>
              </w:rPr>
              <w:t>BME</w:t>
            </w:r>
          </w:p>
        </w:tc>
        <w:tc>
          <w:tcPr>
            <w:tcW w:w="2248" w:type="dxa"/>
            <w:shd w:val="clear" w:color="auto" w:fill="C6D9F1" w:themeFill="text2" w:themeFillTint="33"/>
          </w:tcPr>
          <w:p w14:paraId="15600F4A" w14:textId="7A16864E" w:rsidR="006E1211" w:rsidRPr="009F2DE9" w:rsidRDefault="006E1211" w:rsidP="00CD2E09">
            <w:pPr>
              <w:jc w:val="center"/>
              <w:rPr>
                <w:rFonts w:ascii="Arial" w:hAnsi="Arial" w:cs="Arial"/>
                <w:b/>
                <w:bCs/>
                <w:sz w:val="24"/>
                <w:szCs w:val="24"/>
              </w:rPr>
            </w:pPr>
            <w:r w:rsidRPr="009F2DE9">
              <w:rPr>
                <w:rFonts w:ascii="Arial" w:hAnsi="Arial" w:cs="Arial"/>
                <w:b/>
                <w:bCs/>
                <w:sz w:val="24"/>
                <w:szCs w:val="24"/>
              </w:rPr>
              <w:t>Unknown</w:t>
            </w:r>
          </w:p>
        </w:tc>
      </w:tr>
      <w:tr w:rsidR="006E1211" w:rsidRPr="009F2DE9" w14:paraId="0DAD377F" w14:textId="439B8E5E" w:rsidTr="007D7C06">
        <w:trPr>
          <w:jc w:val="center"/>
        </w:trPr>
        <w:tc>
          <w:tcPr>
            <w:tcW w:w="3566" w:type="dxa"/>
            <w:vMerge/>
            <w:shd w:val="clear" w:color="auto" w:fill="C6D9F1" w:themeFill="text2" w:themeFillTint="33"/>
          </w:tcPr>
          <w:p w14:paraId="4FF42C4B" w14:textId="77777777" w:rsidR="006E1211" w:rsidRPr="009F2DE9" w:rsidRDefault="006E1211" w:rsidP="006E1211">
            <w:pPr>
              <w:rPr>
                <w:rFonts w:ascii="Arial" w:hAnsi="Arial" w:cs="Arial"/>
                <w:sz w:val="24"/>
                <w:szCs w:val="24"/>
              </w:rPr>
            </w:pPr>
          </w:p>
        </w:tc>
        <w:tc>
          <w:tcPr>
            <w:tcW w:w="1589" w:type="dxa"/>
            <w:shd w:val="clear" w:color="auto" w:fill="C6D9F1" w:themeFill="text2" w:themeFillTint="33"/>
            <w:vAlign w:val="center"/>
          </w:tcPr>
          <w:p w14:paraId="646A504D" w14:textId="430E1EB7" w:rsidR="006E1211" w:rsidRPr="009F2DE9" w:rsidRDefault="006E1211" w:rsidP="006E1211">
            <w:pPr>
              <w:jc w:val="center"/>
              <w:rPr>
                <w:rFonts w:ascii="Arial" w:hAnsi="Arial" w:cs="Arial"/>
                <w:b/>
                <w:bCs/>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1245" w:type="dxa"/>
            <w:shd w:val="clear" w:color="auto" w:fill="C6D9F1" w:themeFill="text2" w:themeFillTint="33"/>
          </w:tcPr>
          <w:p w14:paraId="5FFA726E" w14:textId="69C0DFC5" w:rsidR="006E1211" w:rsidRPr="009F2DE9" w:rsidRDefault="0059573D" w:rsidP="006E1211">
            <w:pPr>
              <w:jc w:val="center"/>
              <w:rPr>
                <w:rFonts w:ascii="Arial" w:hAnsi="Arial" w:cs="Arial"/>
                <w:b/>
                <w:bCs/>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48" w:type="dxa"/>
            <w:shd w:val="clear" w:color="auto" w:fill="C6D9F1" w:themeFill="text2" w:themeFillTint="33"/>
          </w:tcPr>
          <w:p w14:paraId="2604D515" w14:textId="171C42DD" w:rsidR="006E1211" w:rsidRPr="009F2DE9" w:rsidRDefault="0059573D" w:rsidP="006E1211">
            <w:pPr>
              <w:jc w:val="center"/>
              <w:rPr>
                <w:rFonts w:ascii="Arial" w:hAnsi="Arial" w:cs="Arial"/>
                <w:b/>
                <w:bCs/>
                <w:sz w:val="24"/>
                <w:szCs w:val="24"/>
              </w:rPr>
            </w:pPr>
            <w:r w:rsidRPr="009F2DE9">
              <w:rPr>
                <w:rFonts w:ascii="Arial" w:hAnsi="Arial" w:cs="Arial"/>
                <w:b/>
                <w:bCs/>
                <w:sz w:val="24"/>
                <w:szCs w:val="24"/>
              </w:rPr>
              <w:t>202</w:t>
            </w:r>
            <w:r w:rsidR="00C60B3A">
              <w:rPr>
                <w:rFonts w:ascii="Arial" w:hAnsi="Arial" w:cs="Arial"/>
                <w:b/>
                <w:bCs/>
                <w:sz w:val="24"/>
                <w:szCs w:val="24"/>
              </w:rPr>
              <w:t>3</w:t>
            </w:r>
          </w:p>
        </w:tc>
      </w:tr>
      <w:tr w:rsidR="006E1211" w:rsidRPr="009F2DE9" w14:paraId="4F61C17D" w14:textId="226F486B" w:rsidTr="007D7C06">
        <w:trPr>
          <w:jc w:val="center"/>
        </w:trPr>
        <w:tc>
          <w:tcPr>
            <w:tcW w:w="3566" w:type="dxa"/>
            <w:vAlign w:val="center"/>
          </w:tcPr>
          <w:p w14:paraId="4936BD22" w14:textId="77777777" w:rsidR="006E1211" w:rsidRPr="009F2DE9" w:rsidRDefault="006E1211" w:rsidP="006E1211">
            <w:pPr>
              <w:rPr>
                <w:rFonts w:ascii="Arial" w:hAnsi="Arial" w:cs="Arial"/>
                <w:sz w:val="24"/>
                <w:szCs w:val="24"/>
              </w:rPr>
            </w:pPr>
            <w:r w:rsidRPr="009F2DE9">
              <w:rPr>
                <w:rFonts w:ascii="Arial" w:hAnsi="Arial" w:cs="Arial"/>
                <w:sz w:val="24"/>
                <w:szCs w:val="24"/>
              </w:rPr>
              <w:t>Number of shortlisted applicants</w:t>
            </w:r>
          </w:p>
        </w:tc>
        <w:tc>
          <w:tcPr>
            <w:tcW w:w="1589" w:type="dxa"/>
            <w:vAlign w:val="center"/>
          </w:tcPr>
          <w:p w14:paraId="00ACD3A3" w14:textId="301F57FC" w:rsidR="006E1211" w:rsidRPr="009F2DE9" w:rsidRDefault="000E3A9A" w:rsidP="00B2130A">
            <w:pPr>
              <w:spacing w:before="120" w:after="100" w:afterAutospacing="1"/>
              <w:jc w:val="center"/>
              <w:rPr>
                <w:rFonts w:ascii="Arial" w:hAnsi="Arial" w:cs="Arial"/>
                <w:sz w:val="24"/>
                <w:szCs w:val="24"/>
              </w:rPr>
            </w:pPr>
            <w:r w:rsidRPr="009F2DE9">
              <w:rPr>
                <w:rFonts w:ascii="Arial" w:hAnsi="Arial" w:cs="Arial"/>
                <w:sz w:val="24"/>
                <w:szCs w:val="24"/>
              </w:rPr>
              <w:t>69</w:t>
            </w:r>
          </w:p>
        </w:tc>
        <w:tc>
          <w:tcPr>
            <w:tcW w:w="1245" w:type="dxa"/>
          </w:tcPr>
          <w:p w14:paraId="2239F6C8" w14:textId="7A59D9F8" w:rsidR="006E1211" w:rsidRPr="009F2DE9" w:rsidRDefault="000E3A9A" w:rsidP="00B2130A">
            <w:pPr>
              <w:spacing w:before="240" w:after="100" w:afterAutospacing="1"/>
              <w:jc w:val="center"/>
              <w:rPr>
                <w:rFonts w:ascii="Arial" w:hAnsi="Arial" w:cs="Arial"/>
                <w:sz w:val="24"/>
                <w:szCs w:val="24"/>
              </w:rPr>
            </w:pPr>
            <w:r w:rsidRPr="009F2DE9">
              <w:rPr>
                <w:rFonts w:ascii="Arial" w:hAnsi="Arial" w:cs="Arial"/>
                <w:sz w:val="24"/>
                <w:szCs w:val="24"/>
              </w:rPr>
              <w:t>83</w:t>
            </w:r>
          </w:p>
        </w:tc>
        <w:tc>
          <w:tcPr>
            <w:tcW w:w="2248" w:type="dxa"/>
          </w:tcPr>
          <w:p w14:paraId="24BD1C31" w14:textId="5E6DD0D5" w:rsidR="006E1211" w:rsidRPr="009F2DE9" w:rsidRDefault="000E3A9A" w:rsidP="00B2130A">
            <w:pPr>
              <w:spacing w:before="240" w:after="100" w:afterAutospacing="1"/>
              <w:jc w:val="center"/>
              <w:rPr>
                <w:rFonts w:ascii="Arial" w:hAnsi="Arial" w:cs="Arial"/>
                <w:sz w:val="24"/>
                <w:szCs w:val="24"/>
              </w:rPr>
            </w:pPr>
            <w:r w:rsidRPr="009F2DE9">
              <w:rPr>
                <w:rFonts w:ascii="Arial" w:hAnsi="Arial" w:cs="Arial"/>
                <w:sz w:val="24"/>
                <w:szCs w:val="24"/>
              </w:rPr>
              <w:t>16</w:t>
            </w:r>
          </w:p>
        </w:tc>
      </w:tr>
      <w:tr w:rsidR="006E1211" w:rsidRPr="009F2DE9" w14:paraId="6C3F551A" w14:textId="05EF4CDC" w:rsidTr="007D7C06">
        <w:trPr>
          <w:jc w:val="center"/>
        </w:trPr>
        <w:tc>
          <w:tcPr>
            <w:tcW w:w="3566" w:type="dxa"/>
            <w:vAlign w:val="center"/>
          </w:tcPr>
          <w:p w14:paraId="7448B984" w14:textId="77777777" w:rsidR="006E1211" w:rsidRPr="009F2DE9" w:rsidRDefault="006E1211" w:rsidP="006E1211">
            <w:pPr>
              <w:rPr>
                <w:rFonts w:ascii="Arial" w:hAnsi="Arial" w:cs="Arial"/>
                <w:sz w:val="24"/>
                <w:szCs w:val="24"/>
              </w:rPr>
            </w:pPr>
            <w:r w:rsidRPr="009F2DE9">
              <w:rPr>
                <w:rFonts w:ascii="Arial" w:hAnsi="Arial" w:cs="Arial"/>
                <w:sz w:val="24"/>
                <w:szCs w:val="24"/>
              </w:rPr>
              <w:t>Number appointed from shortlisting</w:t>
            </w:r>
          </w:p>
        </w:tc>
        <w:tc>
          <w:tcPr>
            <w:tcW w:w="1589" w:type="dxa"/>
            <w:vAlign w:val="center"/>
          </w:tcPr>
          <w:p w14:paraId="54EFE098" w14:textId="4DBDC6D3" w:rsidR="006E1211" w:rsidRPr="009F2DE9" w:rsidRDefault="000E3A9A" w:rsidP="00B2130A">
            <w:pPr>
              <w:spacing w:before="360"/>
              <w:jc w:val="center"/>
              <w:rPr>
                <w:rFonts w:ascii="Arial" w:hAnsi="Arial" w:cs="Arial"/>
                <w:sz w:val="24"/>
                <w:szCs w:val="24"/>
              </w:rPr>
            </w:pPr>
            <w:r w:rsidRPr="009F2DE9">
              <w:rPr>
                <w:rFonts w:ascii="Arial" w:hAnsi="Arial" w:cs="Arial"/>
                <w:sz w:val="24"/>
                <w:szCs w:val="24"/>
              </w:rPr>
              <w:t>21</w:t>
            </w:r>
          </w:p>
        </w:tc>
        <w:tc>
          <w:tcPr>
            <w:tcW w:w="1245" w:type="dxa"/>
          </w:tcPr>
          <w:p w14:paraId="26671054" w14:textId="77777777" w:rsidR="000E3A9A" w:rsidRPr="009F2DE9" w:rsidRDefault="000E3A9A" w:rsidP="00B2130A">
            <w:pPr>
              <w:spacing w:before="100" w:beforeAutospacing="1" w:after="120"/>
              <w:jc w:val="center"/>
              <w:rPr>
                <w:rFonts w:ascii="Arial" w:hAnsi="Arial" w:cs="Arial"/>
                <w:sz w:val="24"/>
                <w:szCs w:val="24"/>
              </w:rPr>
            </w:pPr>
          </w:p>
          <w:p w14:paraId="48644B38" w14:textId="3CDA8682" w:rsidR="006E1211" w:rsidRPr="009F2DE9" w:rsidRDefault="000E3A9A" w:rsidP="00B2130A">
            <w:pPr>
              <w:spacing w:before="120"/>
              <w:jc w:val="center"/>
              <w:rPr>
                <w:rFonts w:ascii="Arial" w:hAnsi="Arial" w:cs="Arial"/>
                <w:sz w:val="24"/>
                <w:szCs w:val="24"/>
              </w:rPr>
            </w:pPr>
            <w:r w:rsidRPr="009F2DE9">
              <w:rPr>
                <w:rFonts w:ascii="Arial" w:hAnsi="Arial" w:cs="Arial"/>
                <w:sz w:val="24"/>
                <w:szCs w:val="24"/>
              </w:rPr>
              <w:t>15</w:t>
            </w:r>
          </w:p>
        </w:tc>
        <w:tc>
          <w:tcPr>
            <w:tcW w:w="2248" w:type="dxa"/>
          </w:tcPr>
          <w:p w14:paraId="786539F8" w14:textId="77777777" w:rsidR="000E3A9A" w:rsidRPr="009F2DE9" w:rsidRDefault="000E3A9A" w:rsidP="00B2130A">
            <w:pPr>
              <w:spacing w:before="100" w:beforeAutospacing="1" w:after="120"/>
              <w:jc w:val="center"/>
              <w:rPr>
                <w:rFonts w:ascii="Arial" w:hAnsi="Arial" w:cs="Arial"/>
                <w:sz w:val="24"/>
                <w:szCs w:val="24"/>
              </w:rPr>
            </w:pPr>
          </w:p>
          <w:p w14:paraId="4AA67F21" w14:textId="1AB04C20" w:rsidR="006E1211" w:rsidRPr="009F2DE9" w:rsidRDefault="000E3A9A" w:rsidP="00B2130A">
            <w:pPr>
              <w:spacing w:before="120"/>
              <w:jc w:val="center"/>
              <w:rPr>
                <w:rFonts w:ascii="Arial" w:hAnsi="Arial" w:cs="Arial"/>
                <w:sz w:val="24"/>
                <w:szCs w:val="24"/>
              </w:rPr>
            </w:pPr>
            <w:r w:rsidRPr="009F2DE9">
              <w:rPr>
                <w:rFonts w:ascii="Arial" w:hAnsi="Arial" w:cs="Arial"/>
                <w:sz w:val="24"/>
                <w:szCs w:val="24"/>
              </w:rPr>
              <w:t>7</w:t>
            </w:r>
          </w:p>
        </w:tc>
      </w:tr>
      <w:tr w:rsidR="006E1211" w:rsidRPr="009F2DE9" w14:paraId="624F432B" w14:textId="70680262" w:rsidTr="007D7C06">
        <w:trPr>
          <w:trHeight w:val="952"/>
          <w:jc w:val="center"/>
        </w:trPr>
        <w:tc>
          <w:tcPr>
            <w:tcW w:w="3566" w:type="dxa"/>
            <w:vAlign w:val="center"/>
          </w:tcPr>
          <w:p w14:paraId="54B0B138" w14:textId="77777777" w:rsidR="006E1211" w:rsidRPr="009F2DE9" w:rsidRDefault="006E1211" w:rsidP="006E1211">
            <w:pPr>
              <w:rPr>
                <w:rFonts w:ascii="Arial" w:hAnsi="Arial" w:cs="Arial"/>
                <w:sz w:val="24"/>
                <w:szCs w:val="24"/>
              </w:rPr>
            </w:pPr>
            <w:r w:rsidRPr="009F2DE9">
              <w:rPr>
                <w:rFonts w:ascii="Arial" w:hAnsi="Arial" w:cs="Arial"/>
                <w:sz w:val="24"/>
                <w:szCs w:val="24"/>
              </w:rPr>
              <w:t>Relative likelihood of appointments from shortlisting</w:t>
            </w:r>
          </w:p>
        </w:tc>
        <w:tc>
          <w:tcPr>
            <w:tcW w:w="1589" w:type="dxa"/>
            <w:vAlign w:val="center"/>
          </w:tcPr>
          <w:p w14:paraId="187BA65B" w14:textId="7E09CAC7" w:rsidR="006E1211" w:rsidRPr="009F2DE9" w:rsidRDefault="000E3A9A" w:rsidP="00B2130A">
            <w:pPr>
              <w:spacing w:before="120"/>
              <w:jc w:val="center"/>
              <w:rPr>
                <w:rFonts w:ascii="Arial" w:hAnsi="Arial" w:cs="Arial"/>
                <w:sz w:val="24"/>
                <w:szCs w:val="24"/>
              </w:rPr>
            </w:pPr>
            <w:r w:rsidRPr="009F2DE9">
              <w:rPr>
                <w:rFonts w:ascii="Arial" w:hAnsi="Arial" w:cs="Arial"/>
                <w:sz w:val="24"/>
                <w:szCs w:val="24"/>
              </w:rPr>
              <w:t>30.43%</w:t>
            </w:r>
          </w:p>
        </w:tc>
        <w:tc>
          <w:tcPr>
            <w:tcW w:w="1245" w:type="dxa"/>
          </w:tcPr>
          <w:p w14:paraId="3790922B" w14:textId="77777777" w:rsidR="00E136AF" w:rsidRPr="009F2DE9" w:rsidRDefault="00E136AF" w:rsidP="00B2130A">
            <w:pPr>
              <w:jc w:val="center"/>
              <w:rPr>
                <w:rFonts w:ascii="Arial" w:hAnsi="Arial" w:cs="Arial"/>
                <w:sz w:val="24"/>
                <w:szCs w:val="24"/>
              </w:rPr>
            </w:pPr>
          </w:p>
          <w:p w14:paraId="61304AEF" w14:textId="3DD5364A" w:rsidR="006E1211" w:rsidRPr="009F2DE9" w:rsidRDefault="000E3A9A" w:rsidP="00B2130A">
            <w:pPr>
              <w:spacing w:before="120"/>
              <w:jc w:val="center"/>
              <w:rPr>
                <w:rFonts w:ascii="Arial" w:hAnsi="Arial" w:cs="Arial"/>
                <w:sz w:val="24"/>
                <w:szCs w:val="24"/>
              </w:rPr>
            </w:pPr>
            <w:r w:rsidRPr="009F2DE9">
              <w:rPr>
                <w:rFonts w:ascii="Arial" w:hAnsi="Arial" w:cs="Arial"/>
                <w:sz w:val="24"/>
                <w:szCs w:val="24"/>
              </w:rPr>
              <w:t>18.07%</w:t>
            </w:r>
          </w:p>
        </w:tc>
        <w:tc>
          <w:tcPr>
            <w:tcW w:w="2248" w:type="dxa"/>
          </w:tcPr>
          <w:p w14:paraId="778DEC54" w14:textId="77777777" w:rsidR="000E3A9A" w:rsidRPr="009F2DE9" w:rsidRDefault="000E3A9A" w:rsidP="00B2130A">
            <w:pPr>
              <w:jc w:val="center"/>
              <w:rPr>
                <w:rFonts w:ascii="Arial" w:hAnsi="Arial" w:cs="Arial"/>
                <w:sz w:val="24"/>
                <w:szCs w:val="24"/>
              </w:rPr>
            </w:pPr>
          </w:p>
          <w:p w14:paraId="14B78ADE" w14:textId="71AC3C30" w:rsidR="006E1211" w:rsidRPr="009F2DE9" w:rsidRDefault="000E3A9A" w:rsidP="00B2130A">
            <w:pPr>
              <w:spacing w:before="120"/>
              <w:jc w:val="center"/>
              <w:rPr>
                <w:rFonts w:ascii="Arial" w:hAnsi="Arial" w:cs="Arial"/>
                <w:sz w:val="24"/>
                <w:szCs w:val="24"/>
              </w:rPr>
            </w:pPr>
            <w:r w:rsidRPr="009F2DE9">
              <w:rPr>
                <w:rFonts w:ascii="Arial" w:hAnsi="Arial" w:cs="Arial"/>
                <w:sz w:val="24"/>
                <w:szCs w:val="24"/>
              </w:rPr>
              <w:t>43.75%</w:t>
            </w:r>
          </w:p>
        </w:tc>
      </w:tr>
    </w:tbl>
    <w:p w14:paraId="5525F14D" w14:textId="0F1BBB50" w:rsidR="009B0E33" w:rsidRDefault="009B0E33" w:rsidP="00F34B47">
      <w:pPr>
        <w:tabs>
          <w:tab w:val="left" w:pos="8080"/>
        </w:tabs>
        <w:spacing w:after="0" w:line="240" w:lineRule="auto"/>
        <w:ind w:left="142" w:right="804"/>
        <w:jc w:val="center"/>
        <w:rPr>
          <w:rFonts w:ascii="Arial" w:hAnsi="Arial" w:cs="Arial"/>
          <w:b/>
          <w:bCs/>
          <w:sz w:val="24"/>
          <w:szCs w:val="24"/>
        </w:rPr>
      </w:pPr>
      <w:r>
        <w:rPr>
          <w:noProof/>
        </w:rPr>
        <w:drawing>
          <wp:inline distT="0" distB="0" distL="0" distR="0" wp14:anchorId="35ED9772" wp14:editId="3658FF94">
            <wp:extent cx="5505450" cy="2736850"/>
            <wp:effectExtent l="0" t="0" r="0" b="6350"/>
            <wp:docPr id="1005481646" name="Chart 1" descr="Graph showing the relative likelihood of staff being shortlisted &amp;  appointed  across all posts.">
              <a:extLst xmlns:a="http://schemas.openxmlformats.org/drawingml/2006/main">
                <a:ext uri="{FF2B5EF4-FFF2-40B4-BE49-F238E27FC236}">
                  <a16:creationId xmlns:a16="http://schemas.microsoft.com/office/drawing/2014/main" id="{BDD26D9C-1654-B7AF-29F0-A748C3EF2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5B0C78" w14:textId="77777777" w:rsidR="006800C9" w:rsidRDefault="006800C9" w:rsidP="00E136CE">
      <w:pPr>
        <w:spacing w:after="0" w:line="240" w:lineRule="auto"/>
        <w:ind w:left="567"/>
        <w:rPr>
          <w:rFonts w:ascii="Arial" w:hAnsi="Arial" w:cs="Arial"/>
          <w:b/>
          <w:bCs/>
          <w:sz w:val="24"/>
          <w:szCs w:val="24"/>
        </w:rPr>
      </w:pPr>
    </w:p>
    <w:p w14:paraId="58E86CFC" w14:textId="7C28E80C" w:rsidR="00D550C6" w:rsidRDefault="00E136CE" w:rsidP="00E136CE">
      <w:pPr>
        <w:spacing w:after="0" w:line="240" w:lineRule="auto"/>
        <w:ind w:left="567"/>
        <w:rPr>
          <w:rFonts w:ascii="Arial" w:hAnsi="Arial" w:cs="Arial"/>
          <w:color w:val="000000"/>
          <w:sz w:val="24"/>
          <w:szCs w:val="24"/>
        </w:rPr>
      </w:pPr>
      <w:r w:rsidRPr="009F2DE9">
        <w:rPr>
          <w:rFonts w:ascii="Arial" w:hAnsi="Arial" w:cs="Arial"/>
          <w:b/>
          <w:bCs/>
          <w:sz w:val="24"/>
          <w:szCs w:val="24"/>
        </w:rPr>
        <w:t>Analysis</w:t>
      </w:r>
      <w:r w:rsidR="00D550C6">
        <w:rPr>
          <w:rFonts w:ascii="Arial" w:hAnsi="Arial" w:cs="Arial"/>
          <w:b/>
          <w:bCs/>
          <w:sz w:val="24"/>
          <w:szCs w:val="24"/>
        </w:rPr>
        <w:t xml:space="preserve"> of indicator 2</w:t>
      </w:r>
      <w:r w:rsidRPr="009F2DE9">
        <w:rPr>
          <w:rFonts w:ascii="Arial" w:hAnsi="Arial" w:cs="Arial"/>
          <w:b/>
          <w:bCs/>
          <w:sz w:val="24"/>
          <w:szCs w:val="24"/>
        </w:rPr>
        <w:t>:</w:t>
      </w:r>
      <w:r w:rsidRPr="009F2DE9">
        <w:rPr>
          <w:rFonts w:ascii="Arial" w:hAnsi="Arial" w:cs="Arial"/>
          <w:color w:val="000000"/>
          <w:sz w:val="24"/>
          <w:szCs w:val="24"/>
        </w:rPr>
        <w:t xml:space="preserve"> </w:t>
      </w:r>
    </w:p>
    <w:p w14:paraId="7E5B0AB7" w14:textId="77777777" w:rsidR="00D550C6" w:rsidRDefault="00D550C6" w:rsidP="00E136CE">
      <w:pPr>
        <w:spacing w:after="0" w:line="240" w:lineRule="auto"/>
        <w:ind w:left="567"/>
        <w:rPr>
          <w:rFonts w:ascii="Arial" w:hAnsi="Arial" w:cs="Arial"/>
          <w:color w:val="000000"/>
          <w:sz w:val="24"/>
          <w:szCs w:val="24"/>
        </w:rPr>
      </w:pPr>
    </w:p>
    <w:p w14:paraId="3420523D" w14:textId="09F6185F" w:rsidR="00E136CE" w:rsidRPr="00D550C6" w:rsidRDefault="00E136CE">
      <w:pPr>
        <w:pStyle w:val="ListParagraph"/>
        <w:numPr>
          <w:ilvl w:val="0"/>
          <w:numId w:val="6"/>
        </w:numPr>
        <w:spacing w:after="0" w:line="240" w:lineRule="auto"/>
        <w:rPr>
          <w:rFonts w:ascii="Arial" w:hAnsi="Arial" w:cs="Arial"/>
          <w:b/>
          <w:bCs/>
          <w:sz w:val="24"/>
          <w:szCs w:val="24"/>
        </w:rPr>
      </w:pPr>
      <w:r w:rsidRPr="00D550C6">
        <w:rPr>
          <w:rFonts w:ascii="Arial" w:hAnsi="Arial" w:cs="Arial"/>
          <w:color w:val="000000"/>
          <w:sz w:val="24"/>
          <w:szCs w:val="24"/>
        </w:rPr>
        <w:t>The r</w:t>
      </w:r>
      <w:r w:rsidRPr="00D550C6">
        <w:rPr>
          <w:rFonts w:ascii="Arial" w:hAnsi="Arial" w:cs="Arial"/>
          <w:sz w:val="24"/>
          <w:szCs w:val="24"/>
        </w:rPr>
        <w:t xml:space="preserve">elative likelihood of appointment </w:t>
      </w:r>
      <w:r w:rsidR="00154249" w:rsidRPr="00D550C6">
        <w:rPr>
          <w:rFonts w:ascii="Arial" w:hAnsi="Arial" w:cs="Arial"/>
          <w:sz w:val="24"/>
          <w:szCs w:val="24"/>
        </w:rPr>
        <w:t>indicate</w:t>
      </w:r>
      <w:r w:rsidR="00CF5AF2">
        <w:rPr>
          <w:rFonts w:ascii="Arial" w:hAnsi="Arial" w:cs="Arial"/>
          <w:sz w:val="24"/>
          <w:szCs w:val="24"/>
        </w:rPr>
        <w:t>s</w:t>
      </w:r>
      <w:r w:rsidR="00154249" w:rsidRPr="00D550C6">
        <w:rPr>
          <w:rFonts w:ascii="Arial" w:hAnsi="Arial" w:cs="Arial"/>
          <w:sz w:val="24"/>
          <w:szCs w:val="24"/>
        </w:rPr>
        <w:t xml:space="preserve"> </w:t>
      </w:r>
      <w:r w:rsidRPr="00D550C6">
        <w:rPr>
          <w:rFonts w:ascii="Arial" w:hAnsi="Arial" w:cs="Arial"/>
          <w:sz w:val="24"/>
          <w:szCs w:val="24"/>
        </w:rPr>
        <w:t xml:space="preserve">that white applicants have a </w:t>
      </w:r>
      <w:r w:rsidRPr="00D550C6">
        <w:rPr>
          <w:rFonts w:ascii="Arial" w:hAnsi="Arial" w:cs="Arial"/>
          <w:b/>
          <w:bCs/>
          <w:sz w:val="24"/>
          <w:szCs w:val="24"/>
        </w:rPr>
        <w:t>1.68</w:t>
      </w:r>
      <w:r w:rsidRPr="00D550C6">
        <w:rPr>
          <w:rFonts w:ascii="Arial" w:hAnsi="Arial" w:cs="Arial"/>
          <w:sz w:val="24"/>
          <w:szCs w:val="24"/>
        </w:rPr>
        <w:t xml:space="preserve"> better chance of securing a position</w:t>
      </w:r>
      <w:r w:rsidR="0096463B">
        <w:rPr>
          <w:rFonts w:ascii="Arial" w:hAnsi="Arial" w:cs="Arial"/>
          <w:sz w:val="24"/>
          <w:szCs w:val="24"/>
        </w:rPr>
        <w:t xml:space="preserve"> than </w:t>
      </w:r>
      <w:r w:rsidR="00147FC3">
        <w:rPr>
          <w:rFonts w:ascii="Arial" w:hAnsi="Arial" w:cs="Arial"/>
          <w:sz w:val="24"/>
          <w:szCs w:val="24"/>
        </w:rPr>
        <w:t>BME</w:t>
      </w:r>
      <w:r w:rsidR="0096463B">
        <w:rPr>
          <w:rFonts w:ascii="Arial" w:hAnsi="Arial" w:cs="Arial"/>
          <w:sz w:val="24"/>
          <w:szCs w:val="24"/>
        </w:rPr>
        <w:t xml:space="preserve"> candidates</w:t>
      </w:r>
      <w:r w:rsidRPr="00D550C6">
        <w:rPr>
          <w:rFonts w:ascii="Arial" w:hAnsi="Arial" w:cs="Arial"/>
          <w:sz w:val="24"/>
          <w:szCs w:val="24"/>
        </w:rPr>
        <w:t>.</w:t>
      </w:r>
    </w:p>
    <w:p w14:paraId="2B91D1BA" w14:textId="77777777" w:rsidR="00E136CE" w:rsidRPr="009F2DE9" w:rsidRDefault="00E136CE" w:rsidP="00390AAE">
      <w:pPr>
        <w:spacing w:after="0" w:line="240" w:lineRule="auto"/>
        <w:rPr>
          <w:rFonts w:ascii="Arial" w:hAnsi="Arial" w:cs="Arial"/>
          <w:sz w:val="24"/>
          <w:szCs w:val="24"/>
        </w:rPr>
      </w:pPr>
    </w:p>
    <w:p w14:paraId="14BB8069" w14:textId="77777777" w:rsidR="00E136CE" w:rsidRDefault="00E136CE" w:rsidP="00390AAE">
      <w:pPr>
        <w:spacing w:after="0" w:line="240" w:lineRule="auto"/>
        <w:rPr>
          <w:rFonts w:ascii="Arial" w:hAnsi="Arial" w:cs="Arial"/>
          <w:sz w:val="24"/>
          <w:szCs w:val="24"/>
        </w:rPr>
      </w:pPr>
    </w:p>
    <w:p w14:paraId="43FBB5E3" w14:textId="19FF1ABD" w:rsidR="00960BD2" w:rsidRPr="009F2DE9" w:rsidRDefault="00960BD2" w:rsidP="0076459F">
      <w:pPr>
        <w:pStyle w:val="ListParagraph"/>
        <w:numPr>
          <w:ilvl w:val="0"/>
          <w:numId w:val="2"/>
        </w:numPr>
        <w:autoSpaceDE w:val="0"/>
        <w:autoSpaceDN w:val="0"/>
        <w:adjustRightInd w:val="0"/>
        <w:spacing w:after="0" w:line="240" w:lineRule="auto"/>
        <w:rPr>
          <w:rFonts w:ascii="Arial" w:hAnsi="Arial" w:cs="Arial"/>
          <w:b/>
          <w:bCs/>
          <w:sz w:val="24"/>
          <w:szCs w:val="24"/>
        </w:rPr>
      </w:pPr>
      <w:r w:rsidRPr="009F2DE9">
        <w:rPr>
          <w:rFonts w:ascii="Arial" w:hAnsi="Arial" w:cs="Arial"/>
          <w:b/>
          <w:bCs/>
          <w:sz w:val="24"/>
          <w:szCs w:val="24"/>
        </w:rPr>
        <w:t xml:space="preserve">WRES Indicator 3: </w:t>
      </w:r>
      <w:r w:rsidR="00E252B3" w:rsidRPr="009F2DE9">
        <w:rPr>
          <w:rFonts w:ascii="Arial" w:hAnsi="Arial" w:cs="Arial"/>
          <w:b/>
          <w:bCs/>
          <w:sz w:val="24"/>
          <w:szCs w:val="24"/>
        </w:rPr>
        <w:t>Relative likelihood of staff entering the formal disciplinary process</w:t>
      </w:r>
      <w:r w:rsidR="00CC3DA5">
        <w:rPr>
          <w:rFonts w:ascii="Arial" w:hAnsi="Arial" w:cs="Arial"/>
          <w:b/>
          <w:bCs/>
          <w:sz w:val="24"/>
          <w:szCs w:val="24"/>
        </w:rPr>
        <w:t>.</w:t>
      </w:r>
    </w:p>
    <w:p w14:paraId="6CCB9B6C" w14:textId="77777777" w:rsidR="00180638" w:rsidRPr="009F2DE9" w:rsidRDefault="00180638" w:rsidP="00180638">
      <w:pPr>
        <w:autoSpaceDE w:val="0"/>
        <w:autoSpaceDN w:val="0"/>
        <w:adjustRightInd w:val="0"/>
        <w:spacing w:after="0" w:line="240" w:lineRule="auto"/>
        <w:rPr>
          <w:rFonts w:ascii="Arial" w:hAnsi="Arial" w:cs="Arial"/>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4"/>
        <w:gridCol w:w="2254"/>
        <w:gridCol w:w="2254"/>
        <w:gridCol w:w="2254"/>
      </w:tblGrid>
      <w:tr w:rsidR="0059573D" w:rsidRPr="009F2DE9" w14:paraId="0BB8EE5F" w14:textId="284F4626" w:rsidTr="00F93C16">
        <w:trPr>
          <w:trHeight w:val="253"/>
          <w:jc w:val="center"/>
        </w:trPr>
        <w:tc>
          <w:tcPr>
            <w:tcW w:w="2254" w:type="dxa"/>
            <w:vMerge w:val="restart"/>
            <w:shd w:val="clear" w:color="auto" w:fill="C6D9F1" w:themeFill="text2" w:themeFillTint="33"/>
          </w:tcPr>
          <w:p w14:paraId="1086F6BD" w14:textId="77777777" w:rsidR="0059573D" w:rsidRPr="009F2DE9" w:rsidRDefault="0059573D" w:rsidP="0059573D">
            <w:pPr>
              <w:rPr>
                <w:rFonts w:ascii="Arial" w:hAnsi="Arial" w:cs="Arial"/>
                <w:sz w:val="24"/>
                <w:szCs w:val="24"/>
              </w:rPr>
            </w:pPr>
          </w:p>
        </w:tc>
        <w:tc>
          <w:tcPr>
            <w:tcW w:w="2254" w:type="dxa"/>
            <w:shd w:val="clear" w:color="auto" w:fill="C6D9F1" w:themeFill="text2" w:themeFillTint="33"/>
            <w:vAlign w:val="center"/>
          </w:tcPr>
          <w:p w14:paraId="0BD71C84" w14:textId="5392A81C" w:rsidR="0059573D" w:rsidRPr="009F2DE9" w:rsidRDefault="0059573D" w:rsidP="0059573D">
            <w:pPr>
              <w:jc w:val="center"/>
              <w:rPr>
                <w:rFonts w:ascii="Arial" w:hAnsi="Arial" w:cs="Arial"/>
                <w:sz w:val="24"/>
                <w:szCs w:val="24"/>
              </w:rPr>
            </w:pPr>
            <w:r w:rsidRPr="009F2DE9">
              <w:rPr>
                <w:rFonts w:ascii="Arial" w:hAnsi="Arial" w:cs="Arial"/>
                <w:b/>
                <w:bCs/>
                <w:sz w:val="24"/>
                <w:szCs w:val="24"/>
              </w:rPr>
              <w:t>White</w:t>
            </w:r>
          </w:p>
        </w:tc>
        <w:tc>
          <w:tcPr>
            <w:tcW w:w="2254" w:type="dxa"/>
            <w:shd w:val="clear" w:color="auto" w:fill="C6D9F1" w:themeFill="text2" w:themeFillTint="33"/>
          </w:tcPr>
          <w:p w14:paraId="377D07E5" w14:textId="604EE516" w:rsidR="0059573D" w:rsidRPr="009F2DE9" w:rsidRDefault="00147FC3" w:rsidP="0059573D">
            <w:pPr>
              <w:jc w:val="center"/>
              <w:rPr>
                <w:rFonts w:ascii="Arial" w:hAnsi="Arial" w:cs="Arial"/>
                <w:sz w:val="24"/>
                <w:szCs w:val="24"/>
              </w:rPr>
            </w:pPr>
            <w:r>
              <w:rPr>
                <w:rFonts w:ascii="Arial" w:hAnsi="Arial" w:cs="Arial"/>
                <w:b/>
                <w:bCs/>
                <w:sz w:val="24"/>
                <w:szCs w:val="24"/>
              </w:rPr>
              <w:t>BME</w:t>
            </w:r>
          </w:p>
        </w:tc>
        <w:tc>
          <w:tcPr>
            <w:tcW w:w="2254" w:type="dxa"/>
            <w:shd w:val="clear" w:color="auto" w:fill="C6D9F1" w:themeFill="text2" w:themeFillTint="33"/>
          </w:tcPr>
          <w:p w14:paraId="0442EA4A" w14:textId="718FF611" w:rsidR="0059573D" w:rsidRPr="009F2DE9" w:rsidRDefault="0059573D" w:rsidP="0059573D">
            <w:pPr>
              <w:jc w:val="center"/>
              <w:rPr>
                <w:rFonts w:ascii="Arial" w:hAnsi="Arial" w:cs="Arial"/>
                <w:sz w:val="24"/>
                <w:szCs w:val="24"/>
              </w:rPr>
            </w:pPr>
            <w:r w:rsidRPr="009F2DE9">
              <w:rPr>
                <w:rFonts w:ascii="Arial" w:hAnsi="Arial" w:cs="Arial"/>
                <w:b/>
                <w:bCs/>
                <w:sz w:val="24"/>
                <w:szCs w:val="24"/>
              </w:rPr>
              <w:t>Unknown</w:t>
            </w:r>
          </w:p>
        </w:tc>
      </w:tr>
      <w:tr w:rsidR="0059573D" w:rsidRPr="009F2DE9" w14:paraId="4D4D26D1" w14:textId="1622BB21" w:rsidTr="00F93C16">
        <w:trPr>
          <w:trHeight w:val="253"/>
          <w:jc w:val="center"/>
        </w:trPr>
        <w:tc>
          <w:tcPr>
            <w:tcW w:w="2254" w:type="dxa"/>
            <w:vMerge/>
            <w:shd w:val="clear" w:color="auto" w:fill="C6D9F1" w:themeFill="text2" w:themeFillTint="33"/>
          </w:tcPr>
          <w:p w14:paraId="509D6157" w14:textId="77777777" w:rsidR="0059573D" w:rsidRPr="009F2DE9" w:rsidRDefault="0059573D" w:rsidP="0059573D">
            <w:pPr>
              <w:rPr>
                <w:rFonts w:ascii="Arial" w:hAnsi="Arial" w:cs="Arial"/>
                <w:sz w:val="24"/>
                <w:szCs w:val="24"/>
              </w:rPr>
            </w:pPr>
          </w:p>
        </w:tc>
        <w:tc>
          <w:tcPr>
            <w:tcW w:w="2254" w:type="dxa"/>
            <w:shd w:val="clear" w:color="auto" w:fill="C6D9F1" w:themeFill="text2" w:themeFillTint="33"/>
            <w:vAlign w:val="center"/>
          </w:tcPr>
          <w:p w14:paraId="49D96052" w14:textId="07B909C6" w:rsidR="0059573D" w:rsidRPr="009F2DE9" w:rsidRDefault="0059573D" w:rsidP="0059573D">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54" w:type="dxa"/>
            <w:shd w:val="clear" w:color="auto" w:fill="C6D9F1" w:themeFill="text2" w:themeFillTint="33"/>
          </w:tcPr>
          <w:p w14:paraId="156F10FE" w14:textId="27B2EE01" w:rsidR="0059573D" w:rsidRPr="009F2DE9" w:rsidRDefault="0059573D" w:rsidP="0059573D">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54" w:type="dxa"/>
            <w:shd w:val="clear" w:color="auto" w:fill="C6D9F1" w:themeFill="text2" w:themeFillTint="33"/>
          </w:tcPr>
          <w:p w14:paraId="4D7194D7" w14:textId="32F246B8" w:rsidR="0059573D" w:rsidRPr="009F2DE9" w:rsidRDefault="0059573D" w:rsidP="0059573D">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r>
      <w:tr w:rsidR="0059573D" w:rsidRPr="009F2DE9" w14:paraId="1952F992" w14:textId="1967CA42" w:rsidTr="004D26C6">
        <w:trPr>
          <w:jc w:val="center"/>
        </w:trPr>
        <w:tc>
          <w:tcPr>
            <w:tcW w:w="2254" w:type="dxa"/>
            <w:vAlign w:val="center"/>
          </w:tcPr>
          <w:p w14:paraId="23D70947" w14:textId="77777777" w:rsidR="0059573D" w:rsidRPr="009F2DE9" w:rsidRDefault="0059573D" w:rsidP="0059573D">
            <w:pPr>
              <w:rPr>
                <w:rFonts w:ascii="Arial" w:hAnsi="Arial" w:cs="Arial"/>
                <w:sz w:val="24"/>
                <w:szCs w:val="24"/>
              </w:rPr>
            </w:pPr>
            <w:r w:rsidRPr="009F2DE9">
              <w:rPr>
                <w:rFonts w:ascii="Arial" w:hAnsi="Arial" w:cs="Arial"/>
                <w:sz w:val="24"/>
                <w:szCs w:val="24"/>
              </w:rPr>
              <w:t>Number of staff entering the formal disciplinary process</w:t>
            </w:r>
          </w:p>
        </w:tc>
        <w:tc>
          <w:tcPr>
            <w:tcW w:w="2254" w:type="dxa"/>
          </w:tcPr>
          <w:p w14:paraId="44D456DE" w14:textId="769C3490" w:rsidR="0059573D" w:rsidRPr="009F2DE9" w:rsidRDefault="00FF1B8D" w:rsidP="00FF1B8D">
            <w:pPr>
              <w:spacing w:after="120"/>
              <w:jc w:val="center"/>
              <w:rPr>
                <w:rFonts w:ascii="Arial" w:hAnsi="Arial" w:cs="Arial"/>
                <w:sz w:val="24"/>
                <w:szCs w:val="24"/>
              </w:rPr>
            </w:pPr>
            <w:r w:rsidRPr="009F2DE9">
              <w:rPr>
                <w:rFonts w:ascii="Arial" w:hAnsi="Arial" w:cs="Arial"/>
                <w:sz w:val="24"/>
                <w:szCs w:val="24"/>
              </w:rPr>
              <w:t>N/A</w:t>
            </w:r>
          </w:p>
        </w:tc>
        <w:tc>
          <w:tcPr>
            <w:tcW w:w="2254" w:type="dxa"/>
          </w:tcPr>
          <w:p w14:paraId="4ABDA555" w14:textId="53801553" w:rsidR="0059573D" w:rsidRPr="009F2DE9" w:rsidRDefault="00FF1B8D" w:rsidP="00FF1B8D">
            <w:pPr>
              <w:spacing w:after="120"/>
              <w:jc w:val="center"/>
              <w:rPr>
                <w:rFonts w:ascii="Arial" w:hAnsi="Arial" w:cs="Arial"/>
                <w:sz w:val="24"/>
                <w:szCs w:val="24"/>
              </w:rPr>
            </w:pPr>
            <w:r w:rsidRPr="009F2DE9">
              <w:rPr>
                <w:rFonts w:ascii="Arial" w:hAnsi="Arial" w:cs="Arial"/>
                <w:sz w:val="24"/>
                <w:szCs w:val="24"/>
              </w:rPr>
              <w:t>N/A</w:t>
            </w:r>
          </w:p>
        </w:tc>
        <w:tc>
          <w:tcPr>
            <w:tcW w:w="2254" w:type="dxa"/>
          </w:tcPr>
          <w:p w14:paraId="3DC70AC3" w14:textId="4C799FF5" w:rsidR="0059573D" w:rsidRPr="009F2DE9" w:rsidRDefault="00FF1B8D" w:rsidP="00FF1B8D">
            <w:pPr>
              <w:spacing w:after="120"/>
              <w:jc w:val="center"/>
              <w:rPr>
                <w:rFonts w:ascii="Arial" w:hAnsi="Arial" w:cs="Arial"/>
                <w:sz w:val="24"/>
                <w:szCs w:val="24"/>
              </w:rPr>
            </w:pPr>
            <w:r w:rsidRPr="009F2DE9">
              <w:rPr>
                <w:rFonts w:ascii="Arial" w:hAnsi="Arial" w:cs="Arial"/>
                <w:sz w:val="24"/>
                <w:szCs w:val="24"/>
              </w:rPr>
              <w:t>N/A</w:t>
            </w:r>
          </w:p>
        </w:tc>
      </w:tr>
      <w:tr w:rsidR="0059573D" w:rsidRPr="009F2DE9" w14:paraId="02549CEE" w14:textId="17F4AAF1" w:rsidTr="004D26C6">
        <w:trPr>
          <w:jc w:val="center"/>
        </w:trPr>
        <w:tc>
          <w:tcPr>
            <w:tcW w:w="2254" w:type="dxa"/>
            <w:vAlign w:val="center"/>
          </w:tcPr>
          <w:p w14:paraId="1F3D08D8" w14:textId="77777777" w:rsidR="0059573D" w:rsidRPr="009F2DE9" w:rsidRDefault="0059573D" w:rsidP="0059573D">
            <w:pPr>
              <w:rPr>
                <w:rFonts w:ascii="Arial" w:hAnsi="Arial" w:cs="Arial"/>
                <w:sz w:val="24"/>
                <w:szCs w:val="24"/>
              </w:rPr>
            </w:pPr>
            <w:r w:rsidRPr="009F2DE9">
              <w:rPr>
                <w:rFonts w:ascii="Arial" w:hAnsi="Arial" w:cs="Arial"/>
                <w:sz w:val="24"/>
                <w:szCs w:val="24"/>
              </w:rPr>
              <w:t>Relative likelihood of staff entering the formal disciplinary process</w:t>
            </w:r>
          </w:p>
        </w:tc>
        <w:tc>
          <w:tcPr>
            <w:tcW w:w="2254" w:type="dxa"/>
          </w:tcPr>
          <w:p w14:paraId="4DB1E040" w14:textId="7201E02E" w:rsidR="0059573D" w:rsidRPr="009F2DE9" w:rsidRDefault="00FF1B8D" w:rsidP="00FF1B8D">
            <w:pPr>
              <w:spacing w:after="120"/>
              <w:jc w:val="center"/>
              <w:rPr>
                <w:rFonts w:ascii="Arial" w:hAnsi="Arial" w:cs="Arial"/>
                <w:sz w:val="24"/>
                <w:szCs w:val="24"/>
              </w:rPr>
            </w:pPr>
            <w:r w:rsidRPr="009F2DE9">
              <w:rPr>
                <w:rFonts w:ascii="Arial" w:hAnsi="Arial" w:cs="Arial"/>
                <w:sz w:val="24"/>
                <w:szCs w:val="24"/>
              </w:rPr>
              <w:t>N/A</w:t>
            </w:r>
          </w:p>
        </w:tc>
        <w:tc>
          <w:tcPr>
            <w:tcW w:w="2254" w:type="dxa"/>
          </w:tcPr>
          <w:p w14:paraId="0D49E5B1" w14:textId="39E90D37" w:rsidR="0059573D" w:rsidRPr="009F2DE9" w:rsidRDefault="00FF1B8D" w:rsidP="00FF1B8D">
            <w:pPr>
              <w:spacing w:after="120"/>
              <w:jc w:val="center"/>
              <w:rPr>
                <w:rFonts w:ascii="Arial" w:hAnsi="Arial" w:cs="Arial"/>
                <w:sz w:val="24"/>
                <w:szCs w:val="24"/>
              </w:rPr>
            </w:pPr>
            <w:r w:rsidRPr="009F2DE9">
              <w:rPr>
                <w:rFonts w:ascii="Arial" w:hAnsi="Arial" w:cs="Arial"/>
                <w:sz w:val="24"/>
                <w:szCs w:val="24"/>
              </w:rPr>
              <w:t>N/A</w:t>
            </w:r>
          </w:p>
        </w:tc>
        <w:tc>
          <w:tcPr>
            <w:tcW w:w="2254" w:type="dxa"/>
          </w:tcPr>
          <w:p w14:paraId="204E99B3" w14:textId="6585690A" w:rsidR="0059573D" w:rsidRPr="009F2DE9" w:rsidRDefault="00FF1B8D" w:rsidP="00FF1B8D">
            <w:pPr>
              <w:spacing w:after="120"/>
              <w:jc w:val="center"/>
              <w:rPr>
                <w:rFonts w:ascii="Arial" w:hAnsi="Arial" w:cs="Arial"/>
                <w:sz w:val="24"/>
                <w:szCs w:val="24"/>
              </w:rPr>
            </w:pPr>
            <w:r w:rsidRPr="009F2DE9">
              <w:rPr>
                <w:rFonts w:ascii="Arial" w:hAnsi="Arial" w:cs="Arial"/>
                <w:sz w:val="24"/>
                <w:szCs w:val="24"/>
              </w:rPr>
              <w:t>N/A</w:t>
            </w:r>
          </w:p>
        </w:tc>
      </w:tr>
    </w:tbl>
    <w:p w14:paraId="09D3F091" w14:textId="77777777" w:rsidR="002608C8" w:rsidRDefault="002608C8" w:rsidP="0012376B">
      <w:pPr>
        <w:spacing w:after="0" w:line="240" w:lineRule="auto"/>
        <w:rPr>
          <w:rFonts w:ascii="Arial" w:hAnsi="Arial" w:cs="Arial"/>
          <w:sz w:val="24"/>
          <w:szCs w:val="24"/>
        </w:rPr>
      </w:pPr>
      <w:bookmarkStart w:id="5" w:name="_Hlk135815754"/>
    </w:p>
    <w:p w14:paraId="245CD43A" w14:textId="77777777" w:rsidR="00AC4F3B" w:rsidRDefault="00AC4F3B" w:rsidP="0012376B">
      <w:pPr>
        <w:spacing w:after="0" w:line="240" w:lineRule="auto"/>
        <w:rPr>
          <w:rFonts w:ascii="Arial" w:hAnsi="Arial" w:cs="Arial"/>
          <w:b/>
          <w:bCs/>
          <w:sz w:val="24"/>
          <w:szCs w:val="24"/>
        </w:rPr>
      </w:pPr>
    </w:p>
    <w:p w14:paraId="7407769C" w14:textId="40840912" w:rsidR="00FB6CC5" w:rsidRPr="009F3C2B" w:rsidRDefault="009F3C2B" w:rsidP="0012376B">
      <w:pPr>
        <w:spacing w:after="0" w:line="240" w:lineRule="auto"/>
        <w:rPr>
          <w:rFonts w:ascii="Arial" w:hAnsi="Arial" w:cs="Arial"/>
          <w:b/>
          <w:bCs/>
          <w:sz w:val="24"/>
          <w:szCs w:val="24"/>
        </w:rPr>
      </w:pPr>
      <w:r w:rsidRPr="009F3C2B">
        <w:rPr>
          <w:rFonts w:ascii="Arial" w:hAnsi="Arial" w:cs="Arial"/>
          <w:b/>
          <w:bCs/>
          <w:sz w:val="24"/>
          <w:szCs w:val="24"/>
        </w:rPr>
        <w:lastRenderedPageBreak/>
        <w:t xml:space="preserve"> Analysis of Indicator 3</w:t>
      </w:r>
    </w:p>
    <w:p w14:paraId="0544359F" w14:textId="77777777" w:rsidR="006800C9" w:rsidRDefault="006800C9" w:rsidP="0012376B">
      <w:pPr>
        <w:spacing w:after="0" w:line="240" w:lineRule="auto"/>
        <w:rPr>
          <w:rFonts w:ascii="Arial" w:hAnsi="Arial" w:cs="Arial"/>
          <w:sz w:val="24"/>
          <w:szCs w:val="24"/>
        </w:rPr>
      </w:pPr>
    </w:p>
    <w:p w14:paraId="69677C9C" w14:textId="38DC1200" w:rsidR="006800C9" w:rsidRPr="007D7C06" w:rsidRDefault="009F3C2B">
      <w:pPr>
        <w:pStyle w:val="ListParagraph"/>
        <w:numPr>
          <w:ilvl w:val="0"/>
          <w:numId w:val="6"/>
        </w:numPr>
        <w:spacing w:after="0" w:line="240" w:lineRule="auto"/>
        <w:rPr>
          <w:rFonts w:ascii="Arial" w:hAnsi="Arial" w:cs="Arial"/>
          <w:sz w:val="24"/>
          <w:szCs w:val="24"/>
        </w:rPr>
      </w:pPr>
      <w:r w:rsidRPr="007D7C06">
        <w:rPr>
          <w:rFonts w:ascii="Arial" w:hAnsi="Arial" w:cs="Arial"/>
          <w:sz w:val="24"/>
          <w:szCs w:val="24"/>
        </w:rPr>
        <w:t xml:space="preserve">We cannot meaningfully report against this metric given the very small number of formal </w:t>
      </w:r>
      <w:r w:rsidR="00436718">
        <w:rPr>
          <w:rFonts w:ascii="Arial" w:hAnsi="Arial" w:cs="Arial"/>
          <w:sz w:val="24"/>
          <w:szCs w:val="24"/>
        </w:rPr>
        <w:t>disciplinary</w:t>
      </w:r>
      <w:r w:rsidRPr="007D7C06">
        <w:rPr>
          <w:rFonts w:ascii="Arial" w:hAnsi="Arial" w:cs="Arial"/>
          <w:sz w:val="24"/>
          <w:szCs w:val="24"/>
        </w:rPr>
        <w:t xml:space="preserve"> cases we have in the ICB.</w:t>
      </w:r>
    </w:p>
    <w:p w14:paraId="07E23C89" w14:textId="77777777" w:rsidR="006800C9" w:rsidRDefault="006800C9" w:rsidP="0012376B">
      <w:pPr>
        <w:spacing w:after="0" w:line="240" w:lineRule="auto"/>
        <w:rPr>
          <w:rFonts w:ascii="Arial" w:hAnsi="Arial" w:cs="Arial"/>
          <w:sz w:val="24"/>
          <w:szCs w:val="24"/>
        </w:rPr>
      </w:pPr>
    </w:p>
    <w:p w14:paraId="629AEDBE" w14:textId="77777777" w:rsidR="006800C9" w:rsidRDefault="006800C9" w:rsidP="0012376B">
      <w:pPr>
        <w:spacing w:after="0" w:line="240" w:lineRule="auto"/>
        <w:rPr>
          <w:rFonts w:ascii="Arial" w:hAnsi="Arial" w:cs="Arial"/>
          <w:sz w:val="24"/>
          <w:szCs w:val="24"/>
        </w:rPr>
      </w:pPr>
    </w:p>
    <w:p w14:paraId="26C62922" w14:textId="6AB18266" w:rsidR="00960BD2" w:rsidRPr="009F2DE9" w:rsidRDefault="00960BD2" w:rsidP="0076459F">
      <w:pPr>
        <w:pStyle w:val="ListParagraph"/>
        <w:numPr>
          <w:ilvl w:val="0"/>
          <w:numId w:val="2"/>
        </w:numPr>
        <w:spacing w:after="0" w:line="240" w:lineRule="auto"/>
        <w:rPr>
          <w:rFonts w:ascii="Arial" w:hAnsi="Arial" w:cs="Arial"/>
          <w:b/>
          <w:bCs/>
          <w:sz w:val="24"/>
          <w:szCs w:val="24"/>
        </w:rPr>
      </w:pPr>
      <w:r w:rsidRPr="009F2DE9">
        <w:rPr>
          <w:rFonts w:ascii="Arial" w:hAnsi="Arial" w:cs="Arial"/>
          <w:b/>
          <w:bCs/>
          <w:sz w:val="24"/>
          <w:szCs w:val="24"/>
        </w:rPr>
        <w:t>WRES Indicator 4: Relative likelihood of staff accessing non-mandatory training and CPD</w:t>
      </w:r>
      <w:r w:rsidR="00CC3DA5">
        <w:rPr>
          <w:rFonts w:ascii="Arial" w:hAnsi="Arial" w:cs="Arial"/>
          <w:b/>
          <w:bCs/>
          <w:sz w:val="24"/>
          <w:szCs w:val="24"/>
        </w:rPr>
        <w:t>.</w:t>
      </w:r>
    </w:p>
    <w:p w14:paraId="1B24CA4E" w14:textId="77777777" w:rsidR="00960BD2" w:rsidRPr="009F2DE9" w:rsidRDefault="00960BD2" w:rsidP="00960BD2">
      <w:pPr>
        <w:spacing w:after="0" w:line="240" w:lineRule="auto"/>
        <w:rPr>
          <w:rFonts w:ascii="Arial" w:hAnsi="Arial" w:cs="Arial"/>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4"/>
        <w:gridCol w:w="2254"/>
        <w:gridCol w:w="2254"/>
        <w:gridCol w:w="2254"/>
      </w:tblGrid>
      <w:tr w:rsidR="0059573D" w:rsidRPr="009F2DE9" w14:paraId="5362E86B" w14:textId="2189F354" w:rsidTr="006800C9">
        <w:trPr>
          <w:trHeight w:val="253"/>
          <w:jc w:val="center"/>
        </w:trPr>
        <w:tc>
          <w:tcPr>
            <w:tcW w:w="2254" w:type="dxa"/>
            <w:vMerge w:val="restart"/>
            <w:shd w:val="clear" w:color="auto" w:fill="C6D9F1" w:themeFill="text2" w:themeFillTint="33"/>
          </w:tcPr>
          <w:p w14:paraId="0B3D9E77" w14:textId="77777777" w:rsidR="0059573D" w:rsidRPr="009F2DE9" w:rsidRDefault="0059573D" w:rsidP="0059573D">
            <w:pPr>
              <w:rPr>
                <w:rFonts w:ascii="Arial" w:hAnsi="Arial" w:cs="Arial"/>
                <w:sz w:val="24"/>
                <w:szCs w:val="24"/>
              </w:rPr>
            </w:pPr>
          </w:p>
        </w:tc>
        <w:tc>
          <w:tcPr>
            <w:tcW w:w="2254" w:type="dxa"/>
            <w:shd w:val="clear" w:color="auto" w:fill="C6D9F1" w:themeFill="text2" w:themeFillTint="33"/>
            <w:vAlign w:val="center"/>
          </w:tcPr>
          <w:p w14:paraId="1746A4B1" w14:textId="2A88D0B6" w:rsidR="0059573D" w:rsidRPr="009F2DE9" w:rsidRDefault="0059573D" w:rsidP="0059573D">
            <w:pPr>
              <w:jc w:val="center"/>
              <w:rPr>
                <w:rFonts w:ascii="Arial" w:hAnsi="Arial" w:cs="Arial"/>
                <w:sz w:val="24"/>
                <w:szCs w:val="24"/>
              </w:rPr>
            </w:pPr>
            <w:r w:rsidRPr="009F2DE9">
              <w:rPr>
                <w:rFonts w:ascii="Arial" w:hAnsi="Arial" w:cs="Arial"/>
                <w:b/>
                <w:bCs/>
                <w:sz w:val="24"/>
                <w:szCs w:val="24"/>
              </w:rPr>
              <w:t>White</w:t>
            </w:r>
          </w:p>
        </w:tc>
        <w:tc>
          <w:tcPr>
            <w:tcW w:w="2254" w:type="dxa"/>
            <w:shd w:val="clear" w:color="auto" w:fill="C6D9F1" w:themeFill="text2" w:themeFillTint="33"/>
          </w:tcPr>
          <w:p w14:paraId="7983BBD4" w14:textId="0E7F5010" w:rsidR="0059573D" w:rsidRPr="009F2DE9" w:rsidRDefault="00147FC3" w:rsidP="0059573D">
            <w:pPr>
              <w:jc w:val="center"/>
              <w:rPr>
                <w:rFonts w:ascii="Arial" w:hAnsi="Arial" w:cs="Arial"/>
                <w:sz w:val="24"/>
                <w:szCs w:val="24"/>
              </w:rPr>
            </w:pPr>
            <w:r>
              <w:rPr>
                <w:rFonts w:ascii="Arial" w:hAnsi="Arial" w:cs="Arial"/>
                <w:b/>
                <w:bCs/>
                <w:sz w:val="24"/>
                <w:szCs w:val="24"/>
              </w:rPr>
              <w:t>BME</w:t>
            </w:r>
          </w:p>
        </w:tc>
        <w:tc>
          <w:tcPr>
            <w:tcW w:w="2254" w:type="dxa"/>
            <w:shd w:val="clear" w:color="auto" w:fill="C6D9F1" w:themeFill="text2" w:themeFillTint="33"/>
          </w:tcPr>
          <w:p w14:paraId="4448AA51" w14:textId="02F5ABB7" w:rsidR="0059573D" w:rsidRPr="009F2DE9" w:rsidRDefault="0059573D" w:rsidP="0059573D">
            <w:pPr>
              <w:jc w:val="center"/>
              <w:rPr>
                <w:rFonts w:ascii="Arial" w:hAnsi="Arial" w:cs="Arial"/>
                <w:sz w:val="24"/>
                <w:szCs w:val="24"/>
              </w:rPr>
            </w:pPr>
            <w:r w:rsidRPr="009F2DE9">
              <w:rPr>
                <w:rFonts w:ascii="Arial" w:hAnsi="Arial" w:cs="Arial"/>
                <w:b/>
                <w:bCs/>
                <w:sz w:val="24"/>
                <w:szCs w:val="24"/>
              </w:rPr>
              <w:t>Unknown</w:t>
            </w:r>
          </w:p>
        </w:tc>
      </w:tr>
      <w:tr w:rsidR="0059573D" w:rsidRPr="009F2DE9" w14:paraId="338207DF" w14:textId="32BAC63C" w:rsidTr="006800C9">
        <w:trPr>
          <w:trHeight w:val="253"/>
          <w:jc w:val="center"/>
        </w:trPr>
        <w:tc>
          <w:tcPr>
            <w:tcW w:w="2254" w:type="dxa"/>
            <w:vMerge/>
            <w:shd w:val="clear" w:color="auto" w:fill="C6D9F1" w:themeFill="text2" w:themeFillTint="33"/>
          </w:tcPr>
          <w:p w14:paraId="147B2C49" w14:textId="77777777" w:rsidR="0059573D" w:rsidRPr="009F2DE9" w:rsidRDefault="0059573D" w:rsidP="0059573D">
            <w:pPr>
              <w:rPr>
                <w:rFonts w:ascii="Arial" w:hAnsi="Arial" w:cs="Arial"/>
                <w:sz w:val="24"/>
                <w:szCs w:val="24"/>
              </w:rPr>
            </w:pPr>
          </w:p>
        </w:tc>
        <w:tc>
          <w:tcPr>
            <w:tcW w:w="2254" w:type="dxa"/>
            <w:shd w:val="clear" w:color="auto" w:fill="C6D9F1" w:themeFill="text2" w:themeFillTint="33"/>
            <w:vAlign w:val="center"/>
          </w:tcPr>
          <w:p w14:paraId="14E6B768" w14:textId="1143B78F" w:rsidR="0059573D" w:rsidRPr="009F2DE9" w:rsidRDefault="0059573D" w:rsidP="0059573D">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54" w:type="dxa"/>
            <w:shd w:val="clear" w:color="auto" w:fill="C6D9F1" w:themeFill="text2" w:themeFillTint="33"/>
          </w:tcPr>
          <w:p w14:paraId="4EC2F220" w14:textId="1E3001F1" w:rsidR="0059573D" w:rsidRPr="009F2DE9" w:rsidRDefault="0059573D" w:rsidP="0059573D">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54" w:type="dxa"/>
            <w:shd w:val="clear" w:color="auto" w:fill="C6D9F1" w:themeFill="text2" w:themeFillTint="33"/>
          </w:tcPr>
          <w:p w14:paraId="4253B959" w14:textId="21A76CE7" w:rsidR="0059573D" w:rsidRPr="009F2DE9" w:rsidRDefault="0059573D" w:rsidP="0059573D">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r>
      <w:tr w:rsidR="0059573D" w:rsidRPr="009F2DE9" w14:paraId="4DD2DFAB" w14:textId="20FA6519" w:rsidTr="006800C9">
        <w:trPr>
          <w:jc w:val="center"/>
        </w:trPr>
        <w:tc>
          <w:tcPr>
            <w:tcW w:w="2254" w:type="dxa"/>
            <w:vAlign w:val="center"/>
          </w:tcPr>
          <w:p w14:paraId="1E74CA62" w14:textId="77777777" w:rsidR="0059573D" w:rsidRPr="009F2DE9" w:rsidRDefault="0059573D" w:rsidP="0059573D">
            <w:pPr>
              <w:rPr>
                <w:rFonts w:ascii="Arial" w:hAnsi="Arial" w:cs="Arial"/>
                <w:sz w:val="24"/>
                <w:szCs w:val="24"/>
              </w:rPr>
            </w:pPr>
            <w:r w:rsidRPr="009F2DE9">
              <w:rPr>
                <w:rFonts w:ascii="Arial" w:hAnsi="Arial" w:cs="Arial"/>
                <w:sz w:val="24"/>
                <w:szCs w:val="24"/>
              </w:rPr>
              <w:t>Number of staff accessing non-mandatory training and CPD</w:t>
            </w:r>
          </w:p>
        </w:tc>
        <w:tc>
          <w:tcPr>
            <w:tcW w:w="2254" w:type="dxa"/>
          </w:tcPr>
          <w:p w14:paraId="70933134" w14:textId="46458209" w:rsidR="0059573D" w:rsidRPr="009F2DE9" w:rsidRDefault="00FB6CC5" w:rsidP="0059573D">
            <w:pPr>
              <w:rPr>
                <w:rFonts w:ascii="Arial" w:hAnsi="Arial" w:cs="Arial"/>
                <w:sz w:val="24"/>
                <w:szCs w:val="24"/>
              </w:rPr>
            </w:pPr>
            <w:r>
              <w:rPr>
                <w:rFonts w:ascii="Arial" w:hAnsi="Arial" w:cs="Arial"/>
                <w:sz w:val="24"/>
                <w:szCs w:val="24"/>
              </w:rPr>
              <w:t>Not collected</w:t>
            </w:r>
          </w:p>
        </w:tc>
        <w:tc>
          <w:tcPr>
            <w:tcW w:w="2254" w:type="dxa"/>
          </w:tcPr>
          <w:p w14:paraId="63409D10" w14:textId="0EEF23E0" w:rsidR="0059573D" w:rsidRPr="009F2DE9" w:rsidRDefault="00FB6CC5" w:rsidP="0059573D">
            <w:pPr>
              <w:rPr>
                <w:rFonts w:ascii="Arial" w:hAnsi="Arial" w:cs="Arial"/>
                <w:sz w:val="24"/>
                <w:szCs w:val="24"/>
              </w:rPr>
            </w:pPr>
            <w:r>
              <w:rPr>
                <w:rFonts w:ascii="Arial" w:hAnsi="Arial" w:cs="Arial"/>
                <w:sz w:val="24"/>
                <w:szCs w:val="24"/>
              </w:rPr>
              <w:t>Not collected</w:t>
            </w:r>
          </w:p>
        </w:tc>
        <w:tc>
          <w:tcPr>
            <w:tcW w:w="2254" w:type="dxa"/>
          </w:tcPr>
          <w:p w14:paraId="41053AC9" w14:textId="1E1AE718" w:rsidR="0059573D" w:rsidRPr="009F2DE9" w:rsidRDefault="00FB6CC5" w:rsidP="0059573D">
            <w:pPr>
              <w:rPr>
                <w:rFonts w:ascii="Arial" w:hAnsi="Arial" w:cs="Arial"/>
                <w:sz w:val="24"/>
                <w:szCs w:val="24"/>
              </w:rPr>
            </w:pPr>
            <w:r>
              <w:rPr>
                <w:rFonts w:ascii="Arial" w:hAnsi="Arial" w:cs="Arial"/>
                <w:sz w:val="24"/>
                <w:szCs w:val="24"/>
              </w:rPr>
              <w:t>Not collected</w:t>
            </w:r>
          </w:p>
        </w:tc>
      </w:tr>
      <w:tr w:rsidR="0059573D" w:rsidRPr="009F2DE9" w14:paraId="0D57366E" w14:textId="00AD0E89" w:rsidTr="006800C9">
        <w:trPr>
          <w:jc w:val="center"/>
        </w:trPr>
        <w:tc>
          <w:tcPr>
            <w:tcW w:w="2254" w:type="dxa"/>
            <w:vAlign w:val="center"/>
          </w:tcPr>
          <w:p w14:paraId="2DDB7086" w14:textId="77777777" w:rsidR="0059573D" w:rsidRPr="009F2DE9" w:rsidRDefault="0059573D" w:rsidP="0059573D">
            <w:pPr>
              <w:rPr>
                <w:rFonts w:ascii="Arial" w:hAnsi="Arial" w:cs="Arial"/>
                <w:sz w:val="24"/>
                <w:szCs w:val="24"/>
              </w:rPr>
            </w:pPr>
            <w:r w:rsidRPr="009F2DE9">
              <w:rPr>
                <w:rFonts w:ascii="Arial" w:hAnsi="Arial" w:cs="Arial"/>
                <w:sz w:val="24"/>
                <w:szCs w:val="24"/>
              </w:rPr>
              <w:t>Likelihood of staff accessing non-mandatory training and CPD</w:t>
            </w:r>
          </w:p>
        </w:tc>
        <w:tc>
          <w:tcPr>
            <w:tcW w:w="2254" w:type="dxa"/>
          </w:tcPr>
          <w:p w14:paraId="23B2B729" w14:textId="31A4CABD" w:rsidR="0059573D" w:rsidRPr="009F2DE9" w:rsidRDefault="00FB6CC5" w:rsidP="0059573D">
            <w:pPr>
              <w:rPr>
                <w:rFonts w:ascii="Arial" w:hAnsi="Arial" w:cs="Arial"/>
                <w:sz w:val="24"/>
                <w:szCs w:val="24"/>
              </w:rPr>
            </w:pPr>
            <w:r>
              <w:rPr>
                <w:rFonts w:ascii="Arial" w:hAnsi="Arial" w:cs="Arial"/>
                <w:sz w:val="24"/>
                <w:szCs w:val="24"/>
              </w:rPr>
              <w:t>N/A</w:t>
            </w:r>
          </w:p>
        </w:tc>
        <w:tc>
          <w:tcPr>
            <w:tcW w:w="2254" w:type="dxa"/>
          </w:tcPr>
          <w:p w14:paraId="77DEDE23" w14:textId="4DC06E49" w:rsidR="0059573D" w:rsidRPr="009F2DE9" w:rsidRDefault="00FB6CC5" w:rsidP="0059573D">
            <w:pPr>
              <w:rPr>
                <w:rFonts w:ascii="Arial" w:hAnsi="Arial" w:cs="Arial"/>
                <w:sz w:val="24"/>
                <w:szCs w:val="24"/>
              </w:rPr>
            </w:pPr>
            <w:r>
              <w:rPr>
                <w:rFonts w:ascii="Arial" w:hAnsi="Arial" w:cs="Arial"/>
                <w:sz w:val="24"/>
                <w:szCs w:val="24"/>
              </w:rPr>
              <w:t>N/A</w:t>
            </w:r>
          </w:p>
        </w:tc>
        <w:tc>
          <w:tcPr>
            <w:tcW w:w="2254" w:type="dxa"/>
          </w:tcPr>
          <w:p w14:paraId="0A134543" w14:textId="44B10C0D" w:rsidR="0059573D" w:rsidRPr="009F2DE9" w:rsidRDefault="00FB6CC5" w:rsidP="0059573D">
            <w:pPr>
              <w:rPr>
                <w:rFonts w:ascii="Arial" w:hAnsi="Arial" w:cs="Arial"/>
                <w:sz w:val="24"/>
                <w:szCs w:val="24"/>
              </w:rPr>
            </w:pPr>
            <w:r>
              <w:rPr>
                <w:rFonts w:ascii="Arial" w:hAnsi="Arial" w:cs="Arial"/>
                <w:sz w:val="24"/>
                <w:szCs w:val="24"/>
              </w:rPr>
              <w:t>N/A</w:t>
            </w:r>
          </w:p>
        </w:tc>
      </w:tr>
      <w:bookmarkEnd w:id="5"/>
    </w:tbl>
    <w:p w14:paraId="1B35216A" w14:textId="77777777" w:rsidR="00307E38" w:rsidRDefault="00307E38" w:rsidP="00307E38">
      <w:pPr>
        <w:pStyle w:val="ListParagraph"/>
        <w:ind w:left="567"/>
        <w:rPr>
          <w:rFonts w:ascii="Arial" w:hAnsi="Arial" w:cs="Arial"/>
          <w:sz w:val="24"/>
          <w:szCs w:val="24"/>
        </w:rPr>
      </w:pPr>
    </w:p>
    <w:p w14:paraId="250BC724" w14:textId="77777777" w:rsidR="0011016A" w:rsidRDefault="0011016A" w:rsidP="00307E38">
      <w:pPr>
        <w:pStyle w:val="ListParagraph"/>
        <w:ind w:left="567"/>
        <w:rPr>
          <w:rFonts w:ascii="Arial" w:hAnsi="Arial" w:cs="Arial"/>
          <w:sz w:val="24"/>
          <w:szCs w:val="24"/>
        </w:rPr>
      </w:pPr>
    </w:p>
    <w:p w14:paraId="5DCC0AF0" w14:textId="3D8CAC24" w:rsidR="00795C8A" w:rsidRPr="009F2DE9" w:rsidRDefault="00452D42" w:rsidP="0076459F">
      <w:pPr>
        <w:pStyle w:val="ListParagraph"/>
        <w:numPr>
          <w:ilvl w:val="0"/>
          <w:numId w:val="2"/>
        </w:numPr>
        <w:rPr>
          <w:rFonts w:ascii="Arial" w:hAnsi="Arial" w:cs="Arial"/>
          <w:b/>
          <w:bCs/>
          <w:sz w:val="24"/>
          <w:szCs w:val="24"/>
        </w:rPr>
      </w:pPr>
      <w:r w:rsidRPr="009F2DE9">
        <w:rPr>
          <w:rFonts w:ascii="Arial" w:hAnsi="Arial" w:cs="Arial"/>
          <w:b/>
          <w:bCs/>
          <w:sz w:val="24"/>
          <w:szCs w:val="24"/>
        </w:rPr>
        <w:t xml:space="preserve">WRES Indicators 5-8 - LLR </w:t>
      </w:r>
      <w:r w:rsidR="006E1211" w:rsidRPr="009F2DE9">
        <w:rPr>
          <w:rFonts w:ascii="Arial" w:hAnsi="Arial" w:cs="Arial"/>
          <w:b/>
          <w:bCs/>
          <w:sz w:val="24"/>
          <w:szCs w:val="24"/>
        </w:rPr>
        <w:t>ICB</w:t>
      </w:r>
      <w:r w:rsidRPr="009F2DE9">
        <w:rPr>
          <w:rFonts w:ascii="Arial" w:hAnsi="Arial" w:cs="Arial"/>
          <w:b/>
          <w:bCs/>
          <w:sz w:val="24"/>
          <w:szCs w:val="24"/>
        </w:rPr>
        <w:t xml:space="preserve"> National NHS Staff Survey results 202</w:t>
      </w:r>
      <w:r w:rsidR="006E1211" w:rsidRPr="009F2DE9">
        <w:rPr>
          <w:rFonts w:ascii="Arial" w:hAnsi="Arial" w:cs="Arial"/>
          <w:b/>
          <w:bCs/>
          <w:sz w:val="24"/>
          <w:szCs w:val="24"/>
        </w:rPr>
        <w:t>2</w:t>
      </w:r>
    </w:p>
    <w:tbl>
      <w:tblPr>
        <w:tblStyle w:val="TableGrid"/>
        <w:tblW w:w="907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7"/>
        <w:gridCol w:w="1860"/>
        <w:gridCol w:w="1984"/>
        <w:gridCol w:w="2136"/>
      </w:tblGrid>
      <w:tr w:rsidR="00230D33" w:rsidRPr="009F2DE9" w14:paraId="7D1D1A68" w14:textId="26CF1108" w:rsidTr="007E0821">
        <w:tc>
          <w:tcPr>
            <w:tcW w:w="9077" w:type="dxa"/>
            <w:gridSpan w:val="4"/>
            <w:shd w:val="clear" w:color="auto" w:fill="auto"/>
            <w:vAlign w:val="center"/>
          </w:tcPr>
          <w:p w14:paraId="70CD1FE4" w14:textId="130D643A" w:rsidR="00230D33" w:rsidRPr="009F2DE9" w:rsidRDefault="00230D33" w:rsidP="00CD2E09">
            <w:pPr>
              <w:jc w:val="center"/>
              <w:rPr>
                <w:rFonts w:ascii="Arial" w:hAnsi="Arial" w:cs="Arial"/>
                <w:b/>
                <w:bCs/>
                <w:sz w:val="24"/>
                <w:szCs w:val="24"/>
              </w:rPr>
            </w:pPr>
            <w:r w:rsidRPr="009F2DE9">
              <w:rPr>
                <w:rFonts w:ascii="Arial" w:hAnsi="Arial" w:cs="Arial"/>
                <w:b/>
                <w:bCs/>
                <w:sz w:val="24"/>
                <w:szCs w:val="24"/>
              </w:rPr>
              <w:t>LLR ICB National NHS Staff Survey results 2022: WRES indicators 5-8</w:t>
            </w:r>
          </w:p>
        </w:tc>
      </w:tr>
      <w:tr w:rsidR="009F3C2B" w:rsidRPr="009F2DE9" w14:paraId="6DA8D29C" w14:textId="084D72AE" w:rsidTr="00647A28">
        <w:tc>
          <w:tcPr>
            <w:tcW w:w="3097" w:type="dxa"/>
            <w:shd w:val="clear" w:color="auto" w:fill="auto"/>
            <w:vAlign w:val="center"/>
          </w:tcPr>
          <w:p w14:paraId="608AF241" w14:textId="77777777" w:rsidR="009F3C2B" w:rsidRPr="009F2DE9" w:rsidRDefault="009F3C2B" w:rsidP="00CD2E09">
            <w:pPr>
              <w:jc w:val="center"/>
              <w:rPr>
                <w:rFonts w:ascii="Arial" w:hAnsi="Arial" w:cs="Arial"/>
                <w:b/>
                <w:bCs/>
                <w:sz w:val="24"/>
                <w:szCs w:val="24"/>
              </w:rPr>
            </w:pPr>
            <w:r w:rsidRPr="009F2DE9">
              <w:rPr>
                <w:rFonts w:ascii="Arial" w:hAnsi="Arial" w:cs="Arial"/>
                <w:b/>
                <w:bCs/>
                <w:sz w:val="24"/>
                <w:szCs w:val="24"/>
              </w:rPr>
              <w:t>Staff survey question</w:t>
            </w:r>
          </w:p>
        </w:tc>
        <w:tc>
          <w:tcPr>
            <w:tcW w:w="1860" w:type="dxa"/>
            <w:shd w:val="clear" w:color="auto" w:fill="auto"/>
            <w:vAlign w:val="center"/>
          </w:tcPr>
          <w:p w14:paraId="4D7C85CC" w14:textId="77777777" w:rsidR="009F3C2B" w:rsidRPr="009F2DE9" w:rsidRDefault="009F3C2B" w:rsidP="00CD2E09">
            <w:pPr>
              <w:jc w:val="center"/>
              <w:rPr>
                <w:rFonts w:ascii="Arial" w:hAnsi="Arial" w:cs="Arial"/>
                <w:b/>
                <w:bCs/>
                <w:sz w:val="24"/>
                <w:szCs w:val="24"/>
              </w:rPr>
            </w:pPr>
            <w:r w:rsidRPr="009F2DE9">
              <w:rPr>
                <w:rFonts w:ascii="Arial" w:hAnsi="Arial" w:cs="Arial"/>
                <w:b/>
                <w:bCs/>
                <w:sz w:val="24"/>
                <w:szCs w:val="24"/>
              </w:rPr>
              <w:t>White staff</w:t>
            </w:r>
          </w:p>
        </w:tc>
        <w:tc>
          <w:tcPr>
            <w:tcW w:w="1984" w:type="dxa"/>
            <w:shd w:val="clear" w:color="auto" w:fill="auto"/>
            <w:vAlign w:val="center"/>
          </w:tcPr>
          <w:p w14:paraId="3D25C950" w14:textId="1795FB3F" w:rsidR="009F3C2B" w:rsidRPr="009F2DE9" w:rsidRDefault="00147FC3" w:rsidP="00CD2E09">
            <w:pPr>
              <w:jc w:val="center"/>
              <w:rPr>
                <w:rFonts w:ascii="Arial" w:hAnsi="Arial" w:cs="Arial"/>
                <w:b/>
                <w:bCs/>
                <w:sz w:val="24"/>
                <w:szCs w:val="24"/>
              </w:rPr>
            </w:pPr>
            <w:r>
              <w:rPr>
                <w:rFonts w:ascii="Arial" w:hAnsi="Arial" w:cs="Arial"/>
                <w:b/>
                <w:bCs/>
                <w:sz w:val="24"/>
                <w:szCs w:val="24"/>
              </w:rPr>
              <w:t>BME</w:t>
            </w:r>
            <w:r w:rsidR="009F3C2B" w:rsidRPr="009F2DE9">
              <w:rPr>
                <w:rFonts w:ascii="Arial" w:hAnsi="Arial" w:cs="Arial"/>
                <w:b/>
                <w:bCs/>
                <w:sz w:val="24"/>
                <w:szCs w:val="24"/>
              </w:rPr>
              <w:t xml:space="preserve"> staff</w:t>
            </w:r>
          </w:p>
        </w:tc>
        <w:tc>
          <w:tcPr>
            <w:tcW w:w="2136" w:type="dxa"/>
            <w:shd w:val="clear" w:color="auto" w:fill="auto"/>
          </w:tcPr>
          <w:p w14:paraId="1E3532A3" w14:textId="417A7258" w:rsidR="009F3C2B" w:rsidRPr="009F2DE9" w:rsidRDefault="00147FC3" w:rsidP="00CD2E09">
            <w:pPr>
              <w:jc w:val="center"/>
              <w:rPr>
                <w:rFonts w:ascii="Arial" w:hAnsi="Arial" w:cs="Arial"/>
                <w:b/>
                <w:bCs/>
                <w:sz w:val="24"/>
                <w:szCs w:val="24"/>
              </w:rPr>
            </w:pPr>
            <w:r>
              <w:rPr>
                <w:rFonts w:ascii="Arial" w:hAnsi="Arial" w:cs="Arial"/>
                <w:b/>
                <w:bCs/>
                <w:sz w:val="24"/>
                <w:szCs w:val="24"/>
              </w:rPr>
              <w:t>BME</w:t>
            </w:r>
            <w:r w:rsidR="009F3C2B">
              <w:rPr>
                <w:rFonts w:ascii="Arial" w:hAnsi="Arial" w:cs="Arial"/>
                <w:b/>
                <w:bCs/>
                <w:sz w:val="24"/>
                <w:szCs w:val="24"/>
              </w:rPr>
              <w:t xml:space="preserve"> Median</w:t>
            </w:r>
            <w:r w:rsidR="007D7C06">
              <w:rPr>
                <w:rFonts w:ascii="Arial" w:hAnsi="Arial" w:cs="Arial"/>
                <w:b/>
                <w:bCs/>
                <w:sz w:val="24"/>
                <w:szCs w:val="24"/>
              </w:rPr>
              <w:t>*</w:t>
            </w:r>
          </w:p>
        </w:tc>
      </w:tr>
      <w:tr w:rsidR="009F3C2B" w:rsidRPr="009F2DE9" w14:paraId="78F73214" w14:textId="79E45E3E" w:rsidTr="00647A28">
        <w:trPr>
          <w:trHeight w:val="327"/>
        </w:trPr>
        <w:tc>
          <w:tcPr>
            <w:tcW w:w="3097" w:type="dxa"/>
            <w:shd w:val="clear" w:color="auto" w:fill="auto"/>
            <w:vAlign w:val="center"/>
          </w:tcPr>
          <w:p w14:paraId="440075F4" w14:textId="5556EDC5" w:rsidR="009F3C2B" w:rsidRPr="009F2DE9" w:rsidRDefault="009F3C2B" w:rsidP="00CD2E09">
            <w:pPr>
              <w:rPr>
                <w:rFonts w:ascii="Arial" w:hAnsi="Arial" w:cs="Arial"/>
                <w:sz w:val="24"/>
                <w:szCs w:val="24"/>
              </w:rPr>
            </w:pPr>
            <w:r w:rsidRPr="009F2DE9">
              <w:rPr>
                <w:rFonts w:ascii="Arial" w:hAnsi="Arial" w:cs="Arial"/>
                <w:sz w:val="24"/>
                <w:szCs w:val="24"/>
              </w:rPr>
              <w:t>Percentage of staff experiencing harassment, bullying or abuse from patients, relatives, or the public in the last 12 months</w:t>
            </w:r>
          </w:p>
        </w:tc>
        <w:tc>
          <w:tcPr>
            <w:tcW w:w="1860" w:type="dxa"/>
            <w:shd w:val="clear" w:color="auto" w:fill="auto"/>
            <w:vAlign w:val="center"/>
          </w:tcPr>
          <w:p w14:paraId="60B9E5B6" w14:textId="52F5C02E" w:rsidR="009F3C2B" w:rsidRPr="009F2DE9" w:rsidRDefault="009F3C2B" w:rsidP="00CD2E09">
            <w:pPr>
              <w:jc w:val="center"/>
              <w:rPr>
                <w:rFonts w:ascii="Arial" w:hAnsi="Arial" w:cs="Arial"/>
                <w:sz w:val="24"/>
                <w:szCs w:val="24"/>
              </w:rPr>
            </w:pPr>
            <w:r w:rsidRPr="009F2DE9">
              <w:rPr>
                <w:rFonts w:ascii="Arial" w:hAnsi="Arial" w:cs="Arial"/>
                <w:sz w:val="24"/>
                <w:szCs w:val="24"/>
              </w:rPr>
              <w:t>2.7%</w:t>
            </w:r>
          </w:p>
        </w:tc>
        <w:tc>
          <w:tcPr>
            <w:tcW w:w="1984" w:type="dxa"/>
            <w:shd w:val="clear" w:color="auto" w:fill="auto"/>
            <w:vAlign w:val="center"/>
          </w:tcPr>
          <w:p w14:paraId="7CA9FE09" w14:textId="5BE20C1C" w:rsidR="009F3C2B" w:rsidRPr="009F2DE9" w:rsidRDefault="009F3C2B" w:rsidP="003A0986">
            <w:pPr>
              <w:spacing w:before="240"/>
              <w:jc w:val="center"/>
              <w:rPr>
                <w:rFonts w:ascii="Arial" w:hAnsi="Arial" w:cs="Arial"/>
                <w:sz w:val="24"/>
                <w:szCs w:val="24"/>
              </w:rPr>
            </w:pPr>
            <w:r w:rsidRPr="009F2DE9">
              <w:rPr>
                <w:rFonts w:ascii="Arial" w:hAnsi="Arial" w:cs="Arial"/>
                <w:sz w:val="24"/>
                <w:szCs w:val="24"/>
              </w:rPr>
              <w:t>0.0%</w:t>
            </w:r>
          </w:p>
          <w:p w14:paraId="56AE54C7" w14:textId="046D4753" w:rsidR="009F3C2B" w:rsidRPr="009F2DE9" w:rsidRDefault="009F3C2B" w:rsidP="00CD2E09">
            <w:pPr>
              <w:jc w:val="center"/>
              <w:rPr>
                <w:rFonts w:ascii="Arial" w:hAnsi="Arial" w:cs="Arial"/>
                <w:sz w:val="24"/>
                <w:szCs w:val="24"/>
              </w:rPr>
            </w:pPr>
          </w:p>
        </w:tc>
        <w:tc>
          <w:tcPr>
            <w:tcW w:w="2136" w:type="dxa"/>
            <w:shd w:val="clear" w:color="auto" w:fill="auto"/>
          </w:tcPr>
          <w:p w14:paraId="76E4AC7F" w14:textId="77777777" w:rsidR="009F3C2B" w:rsidRDefault="009F3C2B" w:rsidP="009F3C2B">
            <w:pPr>
              <w:rPr>
                <w:rFonts w:ascii="Arial" w:hAnsi="Arial" w:cs="Arial"/>
                <w:sz w:val="24"/>
                <w:szCs w:val="24"/>
              </w:rPr>
            </w:pPr>
          </w:p>
          <w:p w14:paraId="58E86C45" w14:textId="77777777" w:rsidR="007D7C06" w:rsidRDefault="007D7C06" w:rsidP="009F3C2B">
            <w:pPr>
              <w:rPr>
                <w:rFonts w:ascii="Arial" w:hAnsi="Arial" w:cs="Arial"/>
                <w:sz w:val="24"/>
                <w:szCs w:val="24"/>
              </w:rPr>
            </w:pPr>
          </w:p>
          <w:p w14:paraId="7D9AC20C" w14:textId="0A22335A" w:rsidR="009F3C2B" w:rsidRDefault="009F3C2B" w:rsidP="003A0986">
            <w:pPr>
              <w:spacing w:before="120"/>
              <w:jc w:val="center"/>
              <w:rPr>
                <w:rFonts w:ascii="Arial" w:hAnsi="Arial" w:cs="Arial"/>
                <w:sz w:val="24"/>
                <w:szCs w:val="24"/>
              </w:rPr>
            </w:pPr>
            <w:r w:rsidRPr="009F2DE9">
              <w:rPr>
                <w:rFonts w:ascii="Arial" w:hAnsi="Arial" w:cs="Arial"/>
                <w:sz w:val="24"/>
                <w:szCs w:val="24"/>
              </w:rPr>
              <w:t>8.3%</w:t>
            </w:r>
          </w:p>
          <w:p w14:paraId="49007838" w14:textId="77777777" w:rsidR="009F3C2B" w:rsidRPr="009F2DE9" w:rsidRDefault="009F3C2B" w:rsidP="00CD2E09">
            <w:pPr>
              <w:jc w:val="center"/>
              <w:rPr>
                <w:rFonts w:ascii="Arial" w:hAnsi="Arial" w:cs="Arial"/>
                <w:sz w:val="24"/>
                <w:szCs w:val="24"/>
              </w:rPr>
            </w:pPr>
          </w:p>
        </w:tc>
      </w:tr>
      <w:tr w:rsidR="009F3C2B" w:rsidRPr="009F2DE9" w14:paraId="150B480D" w14:textId="74A47D66" w:rsidTr="00647A28">
        <w:trPr>
          <w:trHeight w:val="327"/>
        </w:trPr>
        <w:tc>
          <w:tcPr>
            <w:tcW w:w="3097" w:type="dxa"/>
            <w:shd w:val="clear" w:color="auto" w:fill="auto"/>
            <w:vAlign w:val="center"/>
          </w:tcPr>
          <w:p w14:paraId="14F732BB" w14:textId="459776A9" w:rsidR="009F3C2B" w:rsidRPr="009F2DE9" w:rsidRDefault="009F3C2B" w:rsidP="00CD2E09">
            <w:pPr>
              <w:rPr>
                <w:rFonts w:ascii="Arial" w:hAnsi="Arial" w:cs="Arial"/>
                <w:sz w:val="24"/>
                <w:szCs w:val="24"/>
              </w:rPr>
            </w:pPr>
            <w:r w:rsidRPr="009F2DE9">
              <w:rPr>
                <w:rFonts w:ascii="Arial" w:hAnsi="Arial" w:cs="Arial"/>
                <w:sz w:val="24"/>
                <w:szCs w:val="24"/>
              </w:rPr>
              <w:t>Percentage of staff experiencing harassment, bullying or abuse from staff in the last 12 months</w:t>
            </w:r>
          </w:p>
        </w:tc>
        <w:tc>
          <w:tcPr>
            <w:tcW w:w="1860" w:type="dxa"/>
            <w:shd w:val="clear" w:color="auto" w:fill="auto"/>
            <w:vAlign w:val="center"/>
          </w:tcPr>
          <w:p w14:paraId="6A61E189" w14:textId="3B93A8A0" w:rsidR="009F3C2B" w:rsidRPr="009F2DE9" w:rsidRDefault="009F3C2B" w:rsidP="00CD2E09">
            <w:pPr>
              <w:jc w:val="center"/>
              <w:rPr>
                <w:rFonts w:ascii="Arial" w:hAnsi="Arial" w:cs="Arial"/>
                <w:sz w:val="24"/>
                <w:szCs w:val="24"/>
              </w:rPr>
            </w:pPr>
            <w:r w:rsidRPr="009F2DE9">
              <w:rPr>
                <w:rFonts w:ascii="Arial" w:hAnsi="Arial" w:cs="Arial"/>
                <w:sz w:val="24"/>
                <w:szCs w:val="24"/>
              </w:rPr>
              <w:t>12.8%</w:t>
            </w:r>
          </w:p>
        </w:tc>
        <w:tc>
          <w:tcPr>
            <w:tcW w:w="1984" w:type="dxa"/>
            <w:shd w:val="clear" w:color="auto" w:fill="auto"/>
            <w:vAlign w:val="center"/>
          </w:tcPr>
          <w:p w14:paraId="2C72EF11" w14:textId="39D1DA43" w:rsidR="009F3C2B" w:rsidRPr="009F2DE9" w:rsidRDefault="009F3C2B" w:rsidP="003A0986">
            <w:pPr>
              <w:spacing w:before="240"/>
              <w:jc w:val="center"/>
              <w:rPr>
                <w:rFonts w:ascii="Arial" w:hAnsi="Arial" w:cs="Arial"/>
                <w:sz w:val="24"/>
                <w:szCs w:val="24"/>
              </w:rPr>
            </w:pPr>
            <w:r w:rsidRPr="009F2DE9">
              <w:rPr>
                <w:rFonts w:ascii="Arial" w:hAnsi="Arial" w:cs="Arial"/>
                <w:sz w:val="24"/>
                <w:szCs w:val="24"/>
              </w:rPr>
              <w:t xml:space="preserve">21.7% </w:t>
            </w:r>
          </w:p>
          <w:p w14:paraId="4816280D" w14:textId="18F85288" w:rsidR="009F3C2B" w:rsidRPr="009F2DE9" w:rsidRDefault="009F3C2B" w:rsidP="00CD2E09">
            <w:pPr>
              <w:jc w:val="center"/>
              <w:rPr>
                <w:rFonts w:ascii="Arial" w:hAnsi="Arial" w:cs="Arial"/>
                <w:sz w:val="24"/>
                <w:szCs w:val="24"/>
              </w:rPr>
            </w:pPr>
          </w:p>
        </w:tc>
        <w:tc>
          <w:tcPr>
            <w:tcW w:w="2136" w:type="dxa"/>
            <w:shd w:val="clear" w:color="auto" w:fill="auto"/>
          </w:tcPr>
          <w:p w14:paraId="0B8D540A" w14:textId="77777777" w:rsidR="009F3C2B" w:rsidRDefault="009F3C2B" w:rsidP="003A0986">
            <w:pPr>
              <w:spacing w:before="240"/>
              <w:jc w:val="center"/>
              <w:rPr>
                <w:rFonts w:ascii="Arial" w:hAnsi="Arial" w:cs="Arial"/>
                <w:sz w:val="24"/>
                <w:szCs w:val="24"/>
              </w:rPr>
            </w:pPr>
            <w:r w:rsidRPr="009F2DE9">
              <w:rPr>
                <w:rFonts w:ascii="Arial" w:hAnsi="Arial" w:cs="Arial"/>
                <w:sz w:val="24"/>
                <w:szCs w:val="24"/>
              </w:rPr>
              <w:t>Median benchmark* 20.0%</w:t>
            </w:r>
          </w:p>
          <w:p w14:paraId="656B9DA6" w14:textId="77777777" w:rsidR="009F3C2B" w:rsidRPr="009F2DE9" w:rsidRDefault="009F3C2B" w:rsidP="00CD2E09">
            <w:pPr>
              <w:jc w:val="center"/>
              <w:rPr>
                <w:rFonts w:ascii="Arial" w:hAnsi="Arial" w:cs="Arial"/>
                <w:sz w:val="24"/>
                <w:szCs w:val="24"/>
              </w:rPr>
            </w:pPr>
          </w:p>
        </w:tc>
      </w:tr>
      <w:tr w:rsidR="009F3C2B" w:rsidRPr="009F2DE9" w14:paraId="56AA2CB9" w14:textId="6DF71F47" w:rsidTr="00647A28">
        <w:trPr>
          <w:trHeight w:val="327"/>
        </w:trPr>
        <w:tc>
          <w:tcPr>
            <w:tcW w:w="3097" w:type="dxa"/>
            <w:shd w:val="clear" w:color="auto" w:fill="auto"/>
            <w:vAlign w:val="center"/>
          </w:tcPr>
          <w:p w14:paraId="30A92E32" w14:textId="20DA3A6D" w:rsidR="009F3C2B" w:rsidRPr="009F2DE9" w:rsidRDefault="009F3C2B" w:rsidP="00CD2E09">
            <w:pPr>
              <w:rPr>
                <w:rFonts w:ascii="Arial" w:hAnsi="Arial" w:cs="Arial"/>
                <w:sz w:val="24"/>
                <w:szCs w:val="24"/>
              </w:rPr>
            </w:pPr>
            <w:bookmarkStart w:id="6" w:name="_Hlk135747211"/>
            <w:r w:rsidRPr="009F2DE9">
              <w:rPr>
                <w:rFonts w:ascii="Arial" w:hAnsi="Arial" w:cs="Arial"/>
                <w:sz w:val="24"/>
                <w:szCs w:val="24"/>
              </w:rPr>
              <w:t>Percentage believing that the organisation provides equal opportunities for career progression or promotion</w:t>
            </w:r>
            <w:bookmarkEnd w:id="6"/>
          </w:p>
        </w:tc>
        <w:tc>
          <w:tcPr>
            <w:tcW w:w="1860" w:type="dxa"/>
            <w:shd w:val="clear" w:color="auto" w:fill="auto"/>
            <w:vAlign w:val="center"/>
          </w:tcPr>
          <w:p w14:paraId="655E10B3" w14:textId="4E6AA483" w:rsidR="009F3C2B" w:rsidRPr="009F2DE9" w:rsidRDefault="009F3C2B" w:rsidP="00CD2E09">
            <w:pPr>
              <w:jc w:val="center"/>
              <w:rPr>
                <w:rFonts w:ascii="Arial" w:hAnsi="Arial" w:cs="Arial"/>
                <w:sz w:val="24"/>
                <w:szCs w:val="24"/>
              </w:rPr>
            </w:pPr>
            <w:r w:rsidRPr="009F2DE9">
              <w:rPr>
                <w:rFonts w:ascii="Arial" w:hAnsi="Arial" w:cs="Arial"/>
                <w:sz w:val="24"/>
                <w:szCs w:val="24"/>
              </w:rPr>
              <w:t>64.9%</w:t>
            </w:r>
          </w:p>
        </w:tc>
        <w:tc>
          <w:tcPr>
            <w:tcW w:w="1984" w:type="dxa"/>
            <w:shd w:val="clear" w:color="auto" w:fill="auto"/>
            <w:vAlign w:val="center"/>
          </w:tcPr>
          <w:p w14:paraId="382288FF" w14:textId="77777777" w:rsidR="007D7C06" w:rsidRDefault="007D7C06" w:rsidP="007D7C06">
            <w:pPr>
              <w:spacing w:before="100" w:beforeAutospacing="1" w:after="240"/>
              <w:jc w:val="center"/>
              <w:rPr>
                <w:rFonts w:ascii="Arial" w:hAnsi="Arial" w:cs="Arial"/>
                <w:sz w:val="24"/>
                <w:szCs w:val="24"/>
              </w:rPr>
            </w:pPr>
          </w:p>
          <w:p w14:paraId="474CA4B9" w14:textId="65ACFAE8" w:rsidR="009F3C2B" w:rsidRPr="009F2DE9" w:rsidRDefault="009F3C2B" w:rsidP="007D7C06">
            <w:pPr>
              <w:spacing w:before="100" w:beforeAutospacing="1" w:after="240"/>
              <w:jc w:val="center"/>
              <w:rPr>
                <w:rFonts w:ascii="Arial" w:hAnsi="Arial" w:cs="Arial"/>
                <w:sz w:val="24"/>
                <w:szCs w:val="24"/>
              </w:rPr>
            </w:pPr>
            <w:r w:rsidRPr="009F2DE9">
              <w:rPr>
                <w:rFonts w:ascii="Arial" w:hAnsi="Arial" w:cs="Arial"/>
                <w:sz w:val="24"/>
                <w:szCs w:val="24"/>
              </w:rPr>
              <w:t>57.8%</w:t>
            </w:r>
          </w:p>
          <w:p w14:paraId="64B38961" w14:textId="2FBCD518" w:rsidR="009F3C2B" w:rsidRPr="009F2DE9" w:rsidRDefault="009F3C2B" w:rsidP="007D7C06">
            <w:pPr>
              <w:spacing w:before="100" w:beforeAutospacing="1"/>
              <w:jc w:val="center"/>
              <w:rPr>
                <w:rFonts w:ascii="Arial" w:hAnsi="Arial" w:cs="Arial"/>
                <w:sz w:val="24"/>
                <w:szCs w:val="24"/>
              </w:rPr>
            </w:pPr>
          </w:p>
        </w:tc>
        <w:tc>
          <w:tcPr>
            <w:tcW w:w="2136" w:type="dxa"/>
            <w:shd w:val="clear" w:color="auto" w:fill="auto"/>
          </w:tcPr>
          <w:p w14:paraId="0C061006" w14:textId="77777777" w:rsidR="007D7C06" w:rsidRDefault="007D7C06" w:rsidP="007D7C06">
            <w:pPr>
              <w:spacing w:before="100" w:beforeAutospacing="1"/>
              <w:jc w:val="center"/>
              <w:rPr>
                <w:rFonts w:ascii="Arial" w:hAnsi="Arial" w:cs="Arial"/>
                <w:sz w:val="24"/>
                <w:szCs w:val="24"/>
              </w:rPr>
            </w:pPr>
          </w:p>
          <w:p w14:paraId="05DB4638" w14:textId="52D68DAD" w:rsidR="009F3C2B" w:rsidRDefault="009F3C2B" w:rsidP="007D7C06">
            <w:pPr>
              <w:spacing w:before="100" w:beforeAutospacing="1"/>
              <w:jc w:val="center"/>
              <w:rPr>
                <w:rFonts w:ascii="Arial" w:hAnsi="Arial" w:cs="Arial"/>
                <w:sz w:val="24"/>
                <w:szCs w:val="24"/>
              </w:rPr>
            </w:pPr>
            <w:r w:rsidRPr="009F2DE9">
              <w:rPr>
                <w:rFonts w:ascii="Arial" w:hAnsi="Arial" w:cs="Arial"/>
                <w:sz w:val="24"/>
                <w:szCs w:val="24"/>
              </w:rPr>
              <w:t>38.3%</w:t>
            </w:r>
          </w:p>
          <w:p w14:paraId="3C77C9D9" w14:textId="77777777" w:rsidR="009F3C2B" w:rsidRPr="009F2DE9" w:rsidRDefault="009F3C2B" w:rsidP="007D7C06">
            <w:pPr>
              <w:spacing w:before="100" w:beforeAutospacing="1"/>
              <w:jc w:val="center"/>
              <w:rPr>
                <w:rFonts w:ascii="Arial" w:hAnsi="Arial" w:cs="Arial"/>
                <w:sz w:val="24"/>
                <w:szCs w:val="24"/>
              </w:rPr>
            </w:pPr>
          </w:p>
        </w:tc>
      </w:tr>
      <w:tr w:rsidR="009F3C2B" w:rsidRPr="009F2DE9" w14:paraId="762387FC" w14:textId="62BFEB7C" w:rsidTr="00647A28">
        <w:trPr>
          <w:trHeight w:val="543"/>
        </w:trPr>
        <w:tc>
          <w:tcPr>
            <w:tcW w:w="3097" w:type="dxa"/>
            <w:shd w:val="clear" w:color="auto" w:fill="auto"/>
            <w:vAlign w:val="center"/>
          </w:tcPr>
          <w:p w14:paraId="00FE6DCD" w14:textId="72FE8F5B" w:rsidR="009F3C2B" w:rsidRPr="009F2DE9" w:rsidRDefault="009F3C2B" w:rsidP="00CD2E09">
            <w:pPr>
              <w:rPr>
                <w:rFonts w:ascii="Arial" w:hAnsi="Arial" w:cs="Arial"/>
                <w:i/>
                <w:iCs/>
                <w:sz w:val="24"/>
                <w:szCs w:val="24"/>
              </w:rPr>
            </w:pPr>
            <w:r w:rsidRPr="009F2DE9">
              <w:rPr>
                <w:rFonts w:ascii="Arial" w:hAnsi="Arial" w:cs="Arial"/>
                <w:sz w:val="24"/>
                <w:szCs w:val="24"/>
              </w:rPr>
              <w:t>In the last 12 months have you personally experienced discrimination at work from any of the following</w:t>
            </w:r>
            <w:r w:rsidRPr="007B2E22">
              <w:rPr>
                <w:rFonts w:ascii="Arial" w:hAnsi="Arial" w:cs="Arial"/>
                <w:sz w:val="24"/>
                <w:szCs w:val="24"/>
              </w:rPr>
              <w:t xml:space="preserve">: Manager/team leader or other </w:t>
            </w:r>
            <w:proofErr w:type="gramStart"/>
            <w:r w:rsidRPr="007B2E22">
              <w:rPr>
                <w:rFonts w:ascii="Arial" w:hAnsi="Arial" w:cs="Arial"/>
                <w:sz w:val="24"/>
                <w:szCs w:val="24"/>
              </w:rPr>
              <w:t>colleagues</w:t>
            </w:r>
            <w:proofErr w:type="gramEnd"/>
          </w:p>
          <w:p w14:paraId="3BC71090" w14:textId="77777777" w:rsidR="009F3C2B" w:rsidRPr="009F2DE9" w:rsidRDefault="009F3C2B" w:rsidP="00CD2E09">
            <w:pPr>
              <w:rPr>
                <w:rFonts w:ascii="Arial" w:hAnsi="Arial" w:cs="Arial"/>
                <w:sz w:val="24"/>
                <w:szCs w:val="24"/>
              </w:rPr>
            </w:pPr>
          </w:p>
        </w:tc>
        <w:tc>
          <w:tcPr>
            <w:tcW w:w="1860" w:type="dxa"/>
            <w:shd w:val="clear" w:color="auto" w:fill="auto"/>
            <w:vAlign w:val="center"/>
          </w:tcPr>
          <w:p w14:paraId="5ED33BE7" w14:textId="0333FF71" w:rsidR="009F3C2B" w:rsidRPr="009F2DE9" w:rsidRDefault="009F3C2B" w:rsidP="00CD2E09">
            <w:pPr>
              <w:jc w:val="center"/>
              <w:rPr>
                <w:rFonts w:ascii="Arial" w:hAnsi="Arial" w:cs="Arial"/>
                <w:sz w:val="24"/>
                <w:szCs w:val="24"/>
              </w:rPr>
            </w:pPr>
            <w:r w:rsidRPr="009F2DE9">
              <w:rPr>
                <w:rFonts w:ascii="Arial" w:hAnsi="Arial" w:cs="Arial"/>
                <w:sz w:val="24"/>
                <w:szCs w:val="24"/>
              </w:rPr>
              <w:t>1.4%</w:t>
            </w:r>
          </w:p>
        </w:tc>
        <w:tc>
          <w:tcPr>
            <w:tcW w:w="1984" w:type="dxa"/>
            <w:shd w:val="clear" w:color="auto" w:fill="auto"/>
            <w:vAlign w:val="center"/>
          </w:tcPr>
          <w:p w14:paraId="1876C2B0" w14:textId="52B1CC33" w:rsidR="009F3C2B" w:rsidRPr="009F2DE9" w:rsidRDefault="009F3C2B" w:rsidP="003A0986">
            <w:pPr>
              <w:spacing w:before="240"/>
              <w:jc w:val="center"/>
              <w:rPr>
                <w:rFonts w:ascii="Arial" w:hAnsi="Arial" w:cs="Arial"/>
                <w:sz w:val="24"/>
                <w:szCs w:val="24"/>
              </w:rPr>
            </w:pPr>
            <w:r w:rsidRPr="009F2DE9">
              <w:rPr>
                <w:rFonts w:ascii="Arial" w:hAnsi="Arial" w:cs="Arial"/>
                <w:sz w:val="24"/>
                <w:szCs w:val="24"/>
              </w:rPr>
              <w:t>13.3%</w:t>
            </w:r>
          </w:p>
          <w:p w14:paraId="68ADFF2E" w14:textId="2F780EE3" w:rsidR="009F3C2B" w:rsidRPr="009F2DE9" w:rsidRDefault="009F3C2B" w:rsidP="00CD2E09">
            <w:pPr>
              <w:jc w:val="center"/>
              <w:rPr>
                <w:rFonts w:ascii="Arial" w:hAnsi="Arial" w:cs="Arial"/>
                <w:sz w:val="24"/>
                <w:szCs w:val="24"/>
              </w:rPr>
            </w:pPr>
          </w:p>
        </w:tc>
        <w:tc>
          <w:tcPr>
            <w:tcW w:w="2136" w:type="dxa"/>
            <w:shd w:val="clear" w:color="auto" w:fill="auto"/>
          </w:tcPr>
          <w:p w14:paraId="50956A3A" w14:textId="77777777" w:rsidR="007D7C06" w:rsidRDefault="007D7C06" w:rsidP="009F3C2B">
            <w:pPr>
              <w:jc w:val="center"/>
              <w:rPr>
                <w:rFonts w:ascii="Arial" w:hAnsi="Arial" w:cs="Arial"/>
                <w:sz w:val="24"/>
                <w:szCs w:val="24"/>
              </w:rPr>
            </w:pPr>
          </w:p>
          <w:p w14:paraId="00EEF1C8" w14:textId="77777777" w:rsidR="003A0986" w:rsidRDefault="003A0986" w:rsidP="009F3C2B">
            <w:pPr>
              <w:jc w:val="center"/>
              <w:rPr>
                <w:rFonts w:ascii="Arial" w:hAnsi="Arial" w:cs="Arial"/>
                <w:sz w:val="24"/>
                <w:szCs w:val="24"/>
              </w:rPr>
            </w:pPr>
          </w:p>
          <w:p w14:paraId="77B9DBBF" w14:textId="197036B1" w:rsidR="009F3C2B" w:rsidRPr="009F2DE9" w:rsidRDefault="009F3C2B" w:rsidP="003A0986">
            <w:pPr>
              <w:spacing w:before="240"/>
              <w:jc w:val="center"/>
              <w:rPr>
                <w:rFonts w:ascii="Arial" w:hAnsi="Arial" w:cs="Arial"/>
                <w:sz w:val="24"/>
                <w:szCs w:val="24"/>
              </w:rPr>
            </w:pPr>
            <w:r w:rsidRPr="009F2DE9">
              <w:rPr>
                <w:rFonts w:ascii="Arial" w:hAnsi="Arial" w:cs="Arial"/>
                <w:sz w:val="24"/>
                <w:szCs w:val="24"/>
              </w:rPr>
              <w:t>13.3%</w:t>
            </w:r>
          </w:p>
        </w:tc>
      </w:tr>
    </w:tbl>
    <w:p w14:paraId="4C24CD8D" w14:textId="7F5AFF22" w:rsidR="00795C8A" w:rsidRPr="009F2DE9" w:rsidRDefault="00E70617" w:rsidP="00B41280">
      <w:pPr>
        <w:autoSpaceDE w:val="0"/>
        <w:autoSpaceDN w:val="0"/>
        <w:adjustRightInd w:val="0"/>
        <w:spacing w:after="0" w:line="240" w:lineRule="auto"/>
        <w:rPr>
          <w:rFonts w:ascii="Arial" w:hAnsi="Arial" w:cs="Arial"/>
          <w:color w:val="000000"/>
          <w:sz w:val="24"/>
          <w:szCs w:val="24"/>
        </w:rPr>
      </w:pPr>
      <w:r w:rsidRPr="009F2DE9">
        <w:rPr>
          <w:rFonts w:ascii="Arial" w:hAnsi="Arial" w:cs="Arial"/>
          <w:b/>
          <w:bCs/>
          <w:color w:val="000000"/>
          <w:sz w:val="24"/>
          <w:szCs w:val="24"/>
        </w:rPr>
        <w:t>*</w:t>
      </w:r>
      <w:r w:rsidR="006E1211" w:rsidRPr="009F2DE9">
        <w:rPr>
          <w:rFonts w:ascii="Arial" w:hAnsi="Arial" w:cs="Arial"/>
          <w:color w:val="000000"/>
          <w:sz w:val="24"/>
          <w:szCs w:val="24"/>
        </w:rPr>
        <w:t>Average calculated as the median for benchmark group</w:t>
      </w:r>
    </w:p>
    <w:p w14:paraId="12837AA2" w14:textId="77777777" w:rsidR="003A6325" w:rsidRDefault="003A6325" w:rsidP="00B41280">
      <w:pPr>
        <w:autoSpaceDE w:val="0"/>
        <w:autoSpaceDN w:val="0"/>
        <w:adjustRightInd w:val="0"/>
        <w:spacing w:after="0" w:line="240" w:lineRule="auto"/>
        <w:rPr>
          <w:rFonts w:ascii="Arial" w:hAnsi="Arial" w:cs="Arial"/>
          <w:b/>
          <w:bCs/>
          <w:sz w:val="24"/>
          <w:szCs w:val="24"/>
        </w:rPr>
      </w:pPr>
    </w:p>
    <w:p w14:paraId="6ED55A61" w14:textId="77777777" w:rsidR="006800C9" w:rsidRDefault="006800C9" w:rsidP="00B41280">
      <w:pPr>
        <w:autoSpaceDE w:val="0"/>
        <w:autoSpaceDN w:val="0"/>
        <w:adjustRightInd w:val="0"/>
        <w:spacing w:after="0" w:line="240" w:lineRule="auto"/>
        <w:rPr>
          <w:rFonts w:ascii="Arial" w:hAnsi="Arial" w:cs="Arial"/>
          <w:b/>
          <w:bCs/>
          <w:sz w:val="24"/>
          <w:szCs w:val="24"/>
        </w:rPr>
      </w:pPr>
    </w:p>
    <w:p w14:paraId="4E2AC8B8" w14:textId="1FAA99A7" w:rsidR="0014483D" w:rsidRPr="009F2DE9" w:rsidRDefault="00CF5AF2" w:rsidP="00B412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w:t>
      </w:r>
      <w:r w:rsidR="0014483D" w:rsidRPr="009F2DE9">
        <w:rPr>
          <w:rFonts w:ascii="Arial" w:hAnsi="Arial" w:cs="Arial"/>
          <w:b/>
          <w:bCs/>
          <w:sz w:val="24"/>
          <w:szCs w:val="24"/>
        </w:rPr>
        <w:t>nalysis</w:t>
      </w:r>
      <w:r w:rsidR="005B4572" w:rsidRPr="009F2DE9">
        <w:rPr>
          <w:rFonts w:ascii="Arial" w:hAnsi="Arial" w:cs="Arial"/>
          <w:b/>
          <w:bCs/>
          <w:sz w:val="24"/>
          <w:szCs w:val="24"/>
        </w:rPr>
        <w:t xml:space="preserve"> of indicators 5-8</w:t>
      </w:r>
    </w:p>
    <w:p w14:paraId="78F23E7D" w14:textId="77777777" w:rsidR="00573FDB" w:rsidRPr="009F2DE9" w:rsidRDefault="00573FDB" w:rsidP="00B41280">
      <w:pPr>
        <w:autoSpaceDE w:val="0"/>
        <w:autoSpaceDN w:val="0"/>
        <w:adjustRightInd w:val="0"/>
        <w:spacing w:after="0" w:line="240" w:lineRule="auto"/>
        <w:rPr>
          <w:rFonts w:ascii="Arial" w:hAnsi="Arial" w:cs="Arial"/>
          <w:b/>
          <w:bCs/>
          <w:sz w:val="24"/>
          <w:szCs w:val="24"/>
        </w:rPr>
      </w:pPr>
    </w:p>
    <w:p w14:paraId="39FBC614" w14:textId="0BCFBED9" w:rsidR="00573FDB" w:rsidRPr="009F2DE9" w:rsidRDefault="00573FDB" w:rsidP="00B41280">
      <w:pPr>
        <w:autoSpaceDE w:val="0"/>
        <w:autoSpaceDN w:val="0"/>
        <w:adjustRightInd w:val="0"/>
        <w:spacing w:after="0" w:line="240" w:lineRule="auto"/>
        <w:rPr>
          <w:rFonts w:ascii="Arial" w:hAnsi="Arial" w:cs="Arial"/>
          <w:b/>
          <w:bCs/>
          <w:sz w:val="24"/>
          <w:szCs w:val="24"/>
        </w:rPr>
      </w:pPr>
      <w:r w:rsidRPr="009F2DE9">
        <w:rPr>
          <w:rFonts w:ascii="Arial" w:hAnsi="Arial" w:cs="Arial"/>
          <w:b/>
          <w:bCs/>
          <w:sz w:val="24"/>
          <w:szCs w:val="24"/>
        </w:rPr>
        <w:t xml:space="preserve">The </w:t>
      </w:r>
      <w:r w:rsidR="00C43CC5">
        <w:rPr>
          <w:rFonts w:ascii="Arial" w:hAnsi="Arial" w:cs="Arial"/>
          <w:b/>
          <w:bCs/>
          <w:sz w:val="24"/>
          <w:szCs w:val="24"/>
        </w:rPr>
        <w:t xml:space="preserve">staff </w:t>
      </w:r>
      <w:r w:rsidRPr="009F2DE9">
        <w:rPr>
          <w:rFonts w:ascii="Arial" w:hAnsi="Arial" w:cs="Arial"/>
          <w:b/>
          <w:bCs/>
          <w:sz w:val="24"/>
          <w:szCs w:val="24"/>
        </w:rPr>
        <w:t>survey results indicate that:</w:t>
      </w:r>
    </w:p>
    <w:p w14:paraId="6978299B" w14:textId="77777777" w:rsidR="005B4572" w:rsidRPr="009F2DE9" w:rsidRDefault="005B4572" w:rsidP="00B41280">
      <w:pPr>
        <w:autoSpaceDE w:val="0"/>
        <w:autoSpaceDN w:val="0"/>
        <w:adjustRightInd w:val="0"/>
        <w:spacing w:after="0" w:line="240" w:lineRule="auto"/>
        <w:rPr>
          <w:rFonts w:ascii="Arial" w:hAnsi="Arial" w:cs="Arial"/>
          <w:b/>
          <w:bCs/>
          <w:sz w:val="24"/>
          <w:szCs w:val="24"/>
        </w:rPr>
      </w:pPr>
    </w:p>
    <w:p w14:paraId="716F30B2" w14:textId="2C16F6F6" w:rsidR="005B4572" w:rsidRPr="00D550C6" w:rsidRDefault="00147FC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BME</w:t>
      </w:r>
      <w:r w:rsidR="005B4572" w:rsidRPr="00D550C6">
        <w:rPr>
          <w:rFonts w:ascii="Arial" w:hAnsi="Arial" w:cs="Arial"/>
          <w:sz w:val="24"/>
          <w:szCs w:val="24"/>
        </w:rPr>
        <w:t xml:space="preserve"> staff are more likely to experience harassment, bullying or abuse from colleagues (21.7%) compared to white staff (12.8%). This is a difference of 8.9%</w:t>
      </w:r>
    </w:p>
    <w:p w14:paraId="2EA9B350" w14:textId="77777777" w:rsidR="00573FDB" w:rsidRPr="009F2DE9" w:rsidRDefault="00573FDB" w:rsidP="00B41280">
      <w:pPr>
        <w:autoSpaceDE w:val="0"/>
        <w:autoSpaceDN w:val="0"/>
        <w:adjustRightInd w:val="0"/>
        <w:spacing w:after="0" w:line="240" w:lineRule="auto"/>
        <w:rPr>
          <w:rFonts w:ascii="Arial" w:hAnsi="Arial" w:cs="Arial"/>
          <w:sz w:val="24"/>
          <w:szCs w:val="24"/>
        </w:rPr>
      </w:pPr>
    </w:p>
    <w:p w14:paraId="1C271B0D" w14:textId="7EB544D6" w:rsidR="00573FDB" w:rsidRPr="00D550C6" w:rsidRDefault="00573FDB">
      <w:pPr>
        <w:pStyle w:val="ListParagraph"/>
        <w:numPr>
          <w:ilvl w:val="0"/>
          <w:numId w:val="5"/>
        </w:numPr>
        <w:autoSpaceDE w:val="0"/>
        <w:autoSpaceDN w:val="0"/>
        <w:adjustRightInd w:val="0"/>
        <w:spacing w:after="0" w:line="240" w:lineRule="auto"/>
        <w:rPr>
          <w:rFonts w:ascii="Arial" w:hAnsi="Arial" w:cs="Arial"/>
          <w:sz w:val="24"/>
          <w:szCs w:val="24"/>
        </w:rPr>
      </w:pPr>
      <w:r w:rsidRPr="00D550C6">
        <w:rPr>
          <w:rFonts w:ascii="Arial" w:hAnsi="Arial" w:cs="Arial"/>
          <w:sz w:val="24"/>
          <w:szCs w:val="24"/>
        </w:rPr>
        <w:t xml:space="preserve">64.9% </w:t>
      </w:r>
      <w:r w:rsidR="00AC4F3B">
        <w:rPr>
          <w:rFonts w:ascii="Arial" w:hAnsi="Arial" w:cs="Arial"/>
          <w:sz w:val="24"/>
          <w:szCs w:val="24"/>
        </w:rPr>
        <w:t xml:space="preserve">of white staff </w:t>
      </w:r>
      <w:r w:rsidRPr="00D550C6">
        <w:rPr>
          <w:rFonts w:ascii="Arial" w:hAnsi="Arial" w:cs="Arial"/>
          <w:sz w:val="24"/>
          <w:szCs w:val="24"/>
        </w:rPr>
        <w:t>believe that the organisation provides equal opportunities for career progression or promotion compared to 57.8%</w:t>
      </w:r>
      <w:r w:rsidR="00CF5AF2" w:rsidRPr="00CF5AF2">
        <w:rPr>
          <w:rFonts w:ascii="Arial" w:hAnsi="Arial" w:cs="Arial"/>
          <w:sz w:val="24"/>
          <w:szCs w:val="24"/>
        </w:rPr>
        <w:t xml:space="preserve"> </w:t>
      </w:r>
      <w:r w:rsidR="00CF5AF2">
        <w:rPr>
          <w:rFonts w:ascii="Arial" w:hAnsi="Arial" w:cs="Arial"/>
          <w:sz w:val="24"/>
          <w:szCs w:val="24"/>
        </w:rPr>
        <w:t xml:space="preserve">of </w:t>
      </w:r>
      <w:r w:rsidR="00147FC3">
        <w:rPr>
          <w:rFonts w:ascii="Arial" w:hAnsi="Arial" w:cs="Arial"/>
          <w:sz w:val="24"/>
          <w:szCs w:val="24"/>
        </w:rPr>
        <w:t>BME</w:t>
      </w:r>
      <w:r w:rsidR="00CF5AF2" w:rsidRPr="00D550C6">
        <w:rPr>
          <w:rFonts w:ascii="Arial" w:hAnsi="Arial" w:cs="Arial"/>
          <w:sz w:val="24"/>
          <w:szCs w:val="24"/>
        </w:rPr>
        <w:t xml:space="preserve"> staff</w:t>
      </w:r>
      <w:r w:rsidRPr="00D550C6">
        <w:rPr>
          <w:rFonts w:ascii="Arial" w:hAnsi="Arial" w:cs="Arial"/>
          <w:sz w:val="24"/>
          <w:szCs w:val="24"/>
        </w:rPr>
        <w:t>. This is</w:t>
      </w:r>
      <w:r w:rsidR="00E97028">
        <w:rPr>
          <w:rFonts w:ascii="Arial" w:hAnsi="Arial" w:cs="Arial"/>
          <w:sz w:val="24"/>
          <w:szCs w:val="24"/>
        </w:rPr>
        <w:t>,</w:t>
      </w:r>
      <w:r w:rsidRPr="00D550C6">
        <w:rPr>
          <w:rFonts w:ascii="Arial" w:hAnsi="Arial" w:cs="Arial"/>
          <w:sz w:val="24"/>
          <w:szCs w:val="24"/>
        </w:rPr>
        <w:t xml:space="preserve"> however</w:t>
      </w:r>
      <w:r w:rsidR="00E97028">
        <w:rPr>
          <w:rFonts w:ascii="Arial" w:hAnsi="Arial" w:cs="Arial"/>
          <w:sz w:val="24"/>
          <w:szCs w:val="24"/>
        </w:rPr>
        <w:t>,</w:t>
      </w:r>
      <w:r w:rsidRPr="00D550C6">
        <w:rPr>
          <w:rFonts w:ascii="Arial" w:hAnsi="Arial" w:cs="Arial"/>
          <w:sz w:val="24"/>
          <w:szCs w:val="24"/>
        </w:rPr>
        <w:t xml:space="preserve"> more than the median figure</w:t>
      </w:r>
      <w:r w:rsidR="00CC3DA5">
        <w:rPr>
          <w:rFonts w:ascii="Arial" w:hAnsi="Arial" w:cs="Arial"/>
          <w:sz w:val="24"/>
          <w:szCs w:val="24"/>
        </w:rPr>
        <w:t xml:space="preserve"> for ethnically diverse employees</w:t>
      </w:r>
      <w:r w:rsidRPr="00D550C6">
        <w:rPr>
          <w:rFonts w:ascii="Arial" w:hAnsi="Arial" w:cs="Arial"/>
          <w:sz w:val="24"/>
          <w:szCs w:val="24"/>
        </w:rPr>
        <w:t>.</w:t>
      </w:r>
    </w:p>
    <w:p w14:paraId="0112A488" w14:textId="77777777" w:rsidR="00573FDB" w:rsidRPr="009F2DE9" w:rsidRDefault="00573FDB" w:rsidP="00B41280">
      <w:pPr>
        <w:autoSpaceDE w:val="0"/>
        <w:autoSpaceDN w:val="0"/>
        <w:adjustRightInd w:val="0"/>
        <w:spacing w:after="0" w:line="240" w:lineRule="auto"/>
        <w:rPr>
          <w:rFonts w:ascii="Arial" w:hAnsi="Arial" w:cs="Arial"/>
          <w:sz w:val="24"/>
          <w:szCs w:val="24"/>
        </w:rPr>
      </w:pPr>
    </w:p>
    <w:p w14:paraId="468888D1" w14:textId="0B737BDF" w:rsidR="008D6FE1" w:rsidRDefault="00D85595">
      <w:pPr>
        <w:pStyle w:val="ListParagraph"/>
        <w:numPr>
          <w:ilvl w:val="0"/>
          <w:numId w:val="5"/>
        </w:numPr>
        <w:rPr>
          <w:rFonts w:ascii="Arial" w:hAnsi="Arial" w:cs="Arial"/>
          <w:sz w:val="24"/>
          <w:szCs w:val="24"/>
        </w:rPr>
      </w:pPr>
      <w:r>
        <w:rPr>
          <w:rFonts w:ascii="Arial" w:hAnsi="Arial" w:cs="Arial"/>
          <w:sz w:val="24"/>
          <w:szCs w:val="24"/>
        </w:rPr>
        <w:t xml:space="preserve">13.3 % of </w:t>
      </w:r>
      <w:r w:rsidR="00147FC3">
        <w:rPr>
          <w:rFonts w:ascii="Arial" w:hAnsi="Arial" w:cs="Arial"/>
          <w:sz w:val="24"/>
          <w:szCs w:val="24"/>
        </w:rPr>
        <w:t>BME</w:t>
      </w:r>
      <w:r w:rsidR="00573FDB" w:rsidRPr="00D550C6">
        <w:rPr>
          <w:rFonts w:ascii="Arial" w:hAnsi="Arial" w:cs="Arial"/>
          <w:sz w:val="24"/>
          <w:szCs w:val="24"/>
        </w:rPr>
        <w:t xml:space="preserve"> staff </w:t>
      </w:r>
      <w:r w:rsidR="008D6FE1" w:rsidRPr="00D550C6">
        <w:rPr>
          <w:rFonts w:ascii="Arial" w:hAnsi="Arial" w:cs="Arial"/>
          <w:sz w:val="24"/>
          <w:szCs w:val="24"/>
        </w:rPr>
        <w:t xml:space="preserve">have personally experienced discrimination at work from </w:t>
      </w:r>
      <w:r>
        <w:rPr>
          <w:rFonts w:ascii="Arial" w:hAnsi="Arial" w:cs="Arial"/>
          <w:sz w:val="24"/>
          <w:szCs w:val="24"/>
        </w:rPr>
        <w:t xml:space="preserve">a </w:t>
      </w:r>
      <w:r w:rsidRPr="00D550C6">
        <w:rPr>
          <w:rFonts w:ascii="Arial" w:hAnsi="Arial" w:cs="Arial"/>
          <w:sz w:val="24"/>
          <w:szCs w:val="24"/>
        </w:rPr>
        <w:t>manager</w:t>
      </w:r>
      <w:r w:rsidR="008D6FE1" w:rsidRPr="00D550C6">
        <w:rPr>
          <w:rFonts w:ascii="Arial" w:hAnsi="Arial" w:cs="Arial"/>
          <w:sz w:val="24"/>
          <w:szCs w:val="24"/>
        </w:rPr>
        <w:t>/team leader or other colleagues compared to 1.4% of white staff. This is a difference of nearly 12%.</w:t>
      </w:r>
    </w:p>
    <w:p w14:paraId="2769A668" w14:textId="77777777" w:rsidR="00F34B47" w:rsidRPr="00F34B47" w:rsidRDefault="00F34B47" w:rsidP="00F34B47">
      <w:pPr>
        <w:pStyle w:val="ListParagraph"/>
        <w:rPr>
          <w:rFonts w:ascii="Arial" w:hAnsi="Arial" w:cs="Arial"/>
          <w:sz w:val="24"/>
          <w:szCs w:val="24"/>
        </w:rPr>
      </w:pPr>
    </w:p>
    <w:p w14:paraId="07CEE667" w14:textId="77777777" w:rsidR="00F34B47" w:rsidRDefault="00F34B47" w:rsidP="00F34B47">
      <w:pPr>
        <w:pStyle w:val="ListParagraph"/>
        <w:rPr>
          <w:rFonts w:ascii="Arial" w:hAnsi="Arial" w:cs="Arial"/>
          <w:sz w:val="24"/>
          <w:szCs w:val="24"/>
        </w:rPr>
      </w:pPr>
    </w:p>
    <w:p w14:paraId="04F53AF3" w14:textId="727B4287" w:rsidR="00FA4990" w:rsidRPr="009F2DE9" w:rsidRDefault="00452D42" w:rsidP="0076459F">
      <w:pPr>
        <w:pStyle w:val="ListParagraph"/>
        <w:numPr>
          <w:ilvl w:val="0"/>
          <w:numId w:val="2"/>
        </w:numPr>
        <w:rPr>
          <w:rFonts w:ascii="Arial" w:hAnsi="Arial" w:cs="Arial"/>
          <w:b/>
          <w:bCs/>
          <w:sz w:val="24"/>
          <w:szCs w:val="24"/>
        </w:rPr>
      </w:pPr>
      <w:r w:rsidRPr="009F2DE9">
        <w:rPr>
          <w:rFonts w:ascii="Arial" w:hAnsi="Arial" w:cs="Arial"/>
          <w:b/>
          <w:bCs/>
          <w:sz w:val="24"/>
          <w:szCs w:val="24"/>
        </w:rPr>
        <w:t>W</w:t>
      </w:r>
      <w:r w:rsidR="00E900DE" w:rsidRPr="009F2DE9">
        <w:rPr>
          <w:rFonts w:ascii="Arial" w:hAnsi="Arial" w:cs="Arial"/>
          <w:b/>
          <w:bCs/>
          <w:sz w:val="24"/>
          <w:szCs w:val="24"/>
        </w:rPr>
        <w:t>RES Indicator 9: Percentage difference between the organisation’s Board voting membership and its overall workforce</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4"/>
        <w:gridCol w:w="2254"/>
        <w:gridCol w:w="2254"/>
        <w:gridCol w:w="2254"/>
      </w:tblGrid>
      <w:tr w:rsidR="000E3A9A" w:rsidRPr="009F2DE9" w14:paraId="7DA7D082" w14:textId="0C630D98" w:rsidTr="004372FD">
        <w:trPr>
          <w:trHeight w:val="253"/>
          <w:jc w:val="center"/>
        </w:trPr>
        <w:tc>
          <w:tcPr>
            <w:tcW w:w="2254" w:type="dxa"/>
            <w:vMerge w:val="restart"/>
            <w:shd w:val="clear" w:color="auto" w:fill="C6D9F1" w:themeFill="text2" w:themeFillTint="33"/>
          </w:tcPr>
          <w:p w14:paraId="66533DCB" w14:textId="77777777" w:rsidR="000E3A9A" w:rsidRPr="009F2DE9" w:rsidRDefault="000E3A9A" w:rsidP="00755CF5">
            <w:pPr>
              <w:pStyle w:val="Heading2"/>
            </w:pPr>
            <w:bookmarkStart w:id="7" w:name="_Hlk135816672"/>
          </w:p>
        </w:tc>
        <w:tc>
          <w:tcPr>
            <w:tcW w:w="2254" w:type="dxa"/>
            <w:shd w:val="clear" w:color="auto" w:fill="C6D9F1" w:themeFill="text2" w:themeFillTint="33"/>
            <w:vAlign w:val="center"/>
          </w:tcPr>
          <w:p w14:paraId="446B9F7B" w14:textId="152FBD72" w:rsidR="000E3A9A" w:rsidRPr="009F2DE9" w:rsidRDefault="000E3A9A" w:rsidP="000E3A9A">
            <w:pPr>
              <w:jc w:val="center"/>
              <w:rPr>
                <w:rFonts w:ascii="Arial" w:hAnsi="Arial" w:cs="Arial"/>
                <w:sz w:val="24"/>
                <w:szCs w:val="24"/>
              </w:rPr>
            </w:pPr>
            <w:r w:rsidRPr="009F2DE9">
              <w:rPr>
                <w:rFonts w:ascii="Arial" w:hAnsi="Arial" w:cs="Arial"/>
                <w:b/>
                <w:bCs/>
                <w:sz w:val="24"/>
                <w:szCs w:val="24"/>
              </w:rPr>
              <w:t>White</w:t>
            </w:r>
          </w:p>
        </w:tc>
        <w:tc>
          <w:tcPr>
            <w:tcW w:w="2254" w:type="dxa"/>
            <w:shd w:val="clear" w:color="auto" w:fill="C6D9F1" w:themeFill="text2" w:themeFillTint="33"/>
          </w:tcPr>
          <w:p w14:paraId="35CB0BC9" w14:textId="5730ED32" w:rsidR="000E3A9A" w:rsidRPr="009F2DE9" w:rsidRDefault="00147FC3" w:rsidP="000E3A9A">
            <w:pPr>
              <w:jc w:val="center"/>
              <w:rPr>
                <w:rFonts w:ascii="Arial" w:hAnsi="Arial" w:cs="Arial"/>
                <w:sz w:val="24"/>
                <w:szCs w:val="24"/>
              </w:rPr>
            </w:pPr>
            <w:r>
              <w:rPr>
                <w:rFonts w:ascii="Arial" w:hAnsi="Arial" w:cs="Arial"/>
                <w:b/>
                <w:bCs/>
                <w:sz w:val="24"/>
                <w:szCs w:val="24"/>
              </w:rPr>
              <w:t>BME</w:t>
            </w:r>
          </w:p>
        </w:tc>
        <w:tc>
          <w:tcPr>
            <w:tcW w:w="2254" w:type="dxa"/>
            <w:shd w:val="clear" w:color="auto" w:fill="C6D9F1" w:themeFill="text2" w:themeFillTint="33"/>
          </w:tcPr>
          <w:p w14:paraId="4F0D3A96" w14:textId="45BD7D9A" w:rsidR="000E3A9A" w:rsidRPr="009F2DE9" w:rsidRDefault="000E3A9A" w:rsidP="000E3A9A">
            <w:pPr>
              <w:jc w:val="center"/>
              <w:rPr>
                <w:rFonts w:ascii="Arial" w:hAnsi="Arial" w:cs="Arial"/>
                <w:sz w:val="24"/>
                <w:szCs w:val="24"/>
              </w:rPr>
            </w:pPr>
            <w:r w:rsidRPr="009F2DE9">
              <w:rPr>
                <w:rFonts w:ascii="Arial" w:hAnsi="Arial" w:cs="Arial"/>
                <w:b/>
                <w:bCs/>
                <w:sz w:val="24"/>
                <w:szCs w:val="24"/>
              </w:rPr>
              <w:t>Unknown</w:t>
            </w:r>
          </w:p>
        </w:tc>
      </w:tr>
      <w:tr w:rsidR="000E3A9A" w:rsidRPr="009F2DE9" w14:paraId="6D427ABF" w14:textId="498D7970" w:rsidTr="004372FD">
        <w:trPr>
          <w:trHeight w:val="253"/>
          <w:jc w:val="center"/>
        </w:trPr>
        <w:tc>
          <w:tcPr>
            <w:tcW w:w="2254" w:type="dxa"/>
            <w:vMerge/>
            <w:shd w:val="clear" w:color="auto" w:fill="C6D9F1" w:themeFill="text2" w:themeFillTint="33"/>
          </w:tcPr>
          <w:p w14:paraId="29F70A15" w14:textId="77777777" w:rsidR="000E3A9A" w:rsidRPr="009F2DE9" w:rsidRDefault="000E3A9A" w:rsidP="000E3A9A">
            <w:pPr>
              <w:rPr>
                <w:rFonts w:ascii="Arial" w:hAnsi="Arial" w:cs="Arial"/>
                <w:sz w:val="24"/>
                <w:szCs w:val="24"/>
              </w:rPr>
            </w:pPr>
          </w:p>
        </w:tc>
        <w:tc>
          <w:tcPr>
            <w:tcW w:w="2254" w:type="dxa"/>
            <w:shd w:val="clear" w:color="auto" w:fill="C6D9F1" w:themeFill="text2" w:themeFillTint="33"/>
            <w:vAlign w:val="center"/>
          </w:tcPr>
          <w:p w14:paraId="6786EB8F" w14:textId="1E6AD761" w:rsidR="000E3A9A" w:rsidRPr="009F2DE9" w:rsidRDefault="000E3A9A" w:rsidP="000E3A9A">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54" w:type="dxa"/>
            <w:shd w:val="clear" w:color="auto" w:fill="C6D9F1" w:themeFill="text2" w:themeFillTint="33"/>
          </w:tcPr>
          <w:p w14:paraId="30B7A088" w14:textId="2EC0290B" w:rsidR="000E3A9A" w:rsidRPr="009F2DE9" w:rsidRDefault="000E3A9A" w:rsidP="000E3A9A">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c>
          <w:tcPr>
            <w:tcW w:w="2254" w:type="dxa"/>
            <w:shd w:val="clear" w:color="auto" w:fill="C6D9F1" w:themeFill="text2" w:themeFillTint="33"/>
          </w:tcPr>
          <w:p w14:paraId="53789B92" w14:textId="4098759B" w:rsidR="000E3A9A" w:rsidRPr="009F2DE9" w:rsidRDefault="000E3A9A" w:rsidP="000E3A9A">
            <w:pPr>
              <w:jc w:val="center"/>
              <w:rPr>
                <w:rFonts w:ascii="Arial" w:hAnsi="Arial" w:cs="Arial"/>
                <w:sz w:val="24"/>
                <w:szCs w:val="24"/>
              </w:rPr>
            </w:pPr>
            <w:r w:rsidRPr="009F2DE9">
              <w:rPr>
                <w:rFonts w:ascii="Arial" w:hAnsi="Arial" w:cs="Arial"/>
                <w:b/>
                <w:bCs/>
                <w:sz w:val="24"/>
                <w:szCs w:val="24"/>
              </w:rPr>
              <w:t>202</w:t>
            </w:r>
            <w:r w:rsidR="00C60B3A">
              <w:rPr>
                <w:rFonts w:ascii="Arial" w:hAnsi="Arial" w:cs="Arial"/>
                <w:b/>
                <w:bCs/>
                <w:sz w:val="24"/>
                <w:szCs w:val="24"/>
              </w:rPr>
              <w:t>3</w:t>
            </w:r>
          </w:p>
        </w:tc>
      </w:tr>
      <w:tr w:rsidR="000E3A9A" w:rsidRPr="009F2DE9" w14:paraId="4297A139" w14:textId="54F520BB" w:rsidTr="00F45AFB">
        <w:trPr>
          <w:trHeight w:val="177"/>
          <w:jc w:val="center"/>
        </w:trPr>
        <w:tc>
          <w:tcPr>
            <w:tcW w:w="2254" w:type="dxa"/>
            <w:vAlign w:val="center"/>
          </w:tcPr>
          <w:p w14:paraId="2A6BE993" w14:textId="2FC0E126" w:rsidR="000E3A9A" w:rsidRPr="009F2DE9" w:rsidRDefault="000E3A9A" w:rsidP="000E3A9A">
            <w:pPr>
              <w:rPr>
                <w:rFonts w:ascii="Arial" w:hAnsi="Arial" w:cs="Arial"/>
                <w:sz w:val="24"/>
                <w:szCs w:val="24"/>
              </w:rPr>
            </w:pPr>
            <w:r w:rsidRPr="009F2DE9">
              <w:rPr>
                <w:rFonts w:ascii="Arial" w:hAnsi="Arial" w:cs="Arial"/>
                <w:sz w:val="24"/>
                <w:szCs w:val="24"/>
              </w:rPr>
              <w:t>LLR ICB area population*</w:t>
            </w:r>
          </w:p>
        </w:tc>
        <w:tc>
          <w:tcPr>
            <w:tcW w:w="2254" w:type="dxa"/>
            <w:shd w:val="clear" w:color="auto" w:fill="FFFFFF" w:themeFill="background1"/>
          </w:tcPr>
          <w:p w14:paraId="4770DB3A" w14:textId="600DC37A" w:rsidR="000E3A9A" w:rsidRPr="009F2DE9" w:rsidRDefault="00F45AFB" w:rsidP="00F45AFB">
            <w:pPr>
              <w:jc w:val="center"/>
              <w:rPr>
                <w:rFonts w:ascii="Arial" w:hAnsi="Arial" w:cs="Arial"/>
                <w:sz w:val="24"/>
                <w:szCs w:val="24"/>
              </w:rPr>
            </w:pPr>
            <w:r w:rsidRPr="009F2DE9">
              <w:rPr>
                <w:rFonts w:ascii="Arial" w:hAnsi="Arial" w:cs="Arial"/>
                <w:sz w:val="24"/>
                <w:szCs w:val="24"/>
              </w:rPr>
              <w:t>72.5%</w:t>
            </w:r>
          </w:p>
        </w:tc>
        <w:tc>
          <w:tcPr>
            <w:tcW w:w="2254" w:type="dxa"/>
            <w:shd w:val="clear" w:color="auto" w:fill="FFFFFF" w:themeFill="background1"/>
          </w:tcPr>
          <w:p w14:paraId="1191471A" w14:textId="291887AC" w:rsidR="000E3A9A" w:rsidRPr="009F2DE9" w:rsidRDefault="00EE2860" w:rsidP="00F45AFB">
            <w:pPr>
              <w:jc w:val="center"/>
              <w:rPr>
                <w:rFonts w:ascii="Arial" w:hAnsi="Arial" w:cs="Arial"/>
                <w:sz w:val="24"/>
                <w:szCs w:val="24"/>
              </w:rPr>
            </w:pPr>
            <w:r>
              <w:rPr>
                <w:rFonts w:ascii="Arial" w:hAnsi="Arial" w:cs="Arial"/>
                <w:sz w:val="24"/>
                <w:szCs w:val="24"/>
              </w:rPr>
              <w:t>27.5%</w:t>
            </w:r>
          </w:p>
        </w:tc>
        <w:tc>
          <w:tcPr>
            <w:tcW w:w="2254" w:type="dxa"/>
            <w:shd w:val="clear" w:color="auto" w:fill="FFFFFF" w:themeFill="background1"/>
          </w:tcPr>
          <w:p w14:paraId="5AF586F7" w14:textId="54889692" w:rsidR="000E3A9A" w:rsidRPr="009F2DE9" w:rsidRDefault="005320E9" w:rsidP="00F45AFB">
            <w:pPr>
              <w:jc w:val="center"/>
              <w:rPr>
                <w:rFonts w:ascii="Arial" w:hAnsi="Arial" w:cs="Arial"/>
                <w:sz w:val="24"/>
                <w:szCs w:val="24"/>
              </w:rPr>
            </w:pPr>
            <w:r>
              <w:rPr>
                <w:rFonts w:ascii="Arial" w:hAnsi="Arial" w:cs="Arial"/>
                <w:sz w:val="24"/>
                <w:szCs w:val="24"/>
              </w:rPr>
              <w:t>0</w:t>
            </w:r>
          </w:p>
        </w:tc>
      </w:tr>
      <w:tr w:rsidR="000E3A9A" w:rsidRPr="009F2DE9" w14:paraId="0E546944" w14:textId="18479430" w:rsidTr="00A739D9">
        <w:trPr>
          <w:trHeight w:val="177"/>
          <w:jc w:val="center"/>
        </w:trPr>
        <w:tc>
          <w:tcPr>
            <w:tcW w:w="2254" w:type="dxa"/>
            <w:vAlign w:val="center"/>
          </w:tcPr>
          <w:p w14:paraId="4E10E764" w14:textId="20738CD0" w:rsidR="000E3A9A" w:rsidRPr="009F2DE9" w:rsidRDefault="000E3A9A" w:rsidP="000E3A9A">
            <w:pPr>
              <w:rPr>
                <w:rFonts w:ascii="Arial" w:hAnsi="Arial" w:cs="Arial"/>
                <w:sz w:val="24"/>
                <w:szCs w:val="24"/>
              </w:rPr>
            </w:pPr>
            <w:r w:rsidRPr="009F2DE9">
              <w:rPr>
                <w:rFonts w:ascii="Arial" w:hAnsi="Arial" w:cs="Arial"/>
                <w:sz w:val="24"/>
                <w:szCs w:val="24"/>
              </w:rPr>
              <w:t xml:space="preserve">Overall </w:t>
            </w:r>
            <w:r w:rsidR="00385E2F">
              <w:rPr>
                <w:rFonts w:ascii="Arial" w:hAnsi="Arial" w:cs="Arial"/>
                <w:sz w:val="24"/>
                <w:szCs w:val="24"/>
              </w:rPr>
              <w:t xml:space="preserve">total </w:t>
            </w:r>
            <w:r w:rsidRPr="009F2DE9">
              <w:rPr>
                <w:rFonts w:ascii="Arial" w:hAnsi="Arial" w:cs="Arial"/>
                <w:sz w:val="24"/>
                <w:szCs w:val="24"/>
              </w:rPr>
              <w:t>workforce</w:t>
            </w:r>
          </w:p>
        </w:tc>
        <w:tc>
          <w:tcPr>
            <w:tcW w:w="2254" w:type="dxa"/>
          </w:tcPr>
          <w:p w14:paraId="71C71CF4" w14:textId="0380060A" w:rsidR="000E3A9A" w:rsidRPr="009F2DE9" w:rsidRDefault="000E3A9A" w:rsidP="000E3A9A">
            <w:pPr>
              <w:jc w:val="center"/>
              <w:rPr>
                <w:rFonts w:ascii="Arial" w:hAnsi="Arial" w:cs="Arial"/>
                <w:sz w:val="24"/>
                <w:szCs w:val="24"/>
              </w:rPr>
            </w:pPr>
            <w:r w:rsidRPr="009F2DE9">
              <w:rPr>
                <w:rFonts w:ascii="Arial" w:hAnsi="Arial" w:cs="Arial"/>
                <w:sz w:val="24"/>
                <w:szCs w:val="24"/>
              </w:rPr>
              <w:t>196</w:t>
            </w:r>
          </w:p>
        </w:tc>
        <w:tc>
          <w:tcPr>
            <w:tcW w:w="2254" w:type="dxa"/>
          </w:tcPr>
          <w:p w14:paraId="6EE987E2" w14:textId="247C69EB" w:rsidR="000E3A9A" w:rsidRPr="009F2DE9" w:rsidRDefault="000E3A9A" w:rsidP="000E3A9A">
            <w:pPr>
              <w:jc w:val="center"/>
              <w:rPr>
                <w:rFonts w:ascii="Arial" w:hAnsi="Arial" w:cs="Arial"/>
                <w:sz w:val="24"/>
                <w:szCs w:val="24"/>
              </w:rPr>
            </w:pPr>
            <w:r w:rsidRPr="009F2DE9">
              <w:rPr>
                <w:rFonts w:ascii="Arial" w:hAnsi="Arial" w:cs="Arial"/>
                <w:sz w:val="24"/>
                <w:szCs w:val="24"/>
              </w:rPr>
              <w:t>107</w:t>
            </w:r>
          </w:p>
        </w:tc>
        <w:tc>
          <w:tcPr>
            <w:tcW w:w="2254" w:type="dxa"/>
          </w:tcPr>
          <w:p w14:paraId="0D0CC2D8" w14:textId="731C749B" w:rsidR="000E3A9A" w:rsidRPr="009F2DE9" w:rsidRDefault="000E3A9A" w:rsidP="000E3A9A">
            <w:pPr>
              <w:jc w:val="center"/>
              <w:rPr>
                <w:rFonts w:ascii="Arial" w:hAnsi="Arial" w:cs="Arial"/>
                <w:sz w:val="24"/>
                <w:szCs w:val="24"/>
              </w:rPr>
            </w:pPr>
            <w:r w:rsidRPr="009F2DE9">
              <w:rPr>
                <w:rFonts w:ascii="Arial" w:hAnsi="Arial" w:cs="Arial"/>
                <w:sz w:val="24"/>
                <w:szCs w:val="24"/>
              </w:rPr>
              <w:t>36</w:t>
            </w:r>
          </w:p>
        </w:tc>
      </w:tr>
      <w:tr w:rsidR="000E3A9A" w:rsidRPr="009F2DE9" w14:paraId="4EBC9F85" w14:textId="3D9B7DEF" w:rsidTr="00647A28">
        <w:trPr>
          <w:jc w:val="center"/>
        </w:trPr>
        <w:tc>
          <w:tcPr>
            <w:tcW w:w="2254" w:type="dxa"/>
            <w:vAlign w:val="center"/>
          </w:tcPr>
          <w:p w14:paraId="5757049B" w14:textId="4F167EDA" w:rsidR="000E3A9A" w:rsidRPr="009F2DE9" w:rsidRDefault="00385E2F" w:rsidP="000E3A9A">
            <w:pPr>
              <w:rPr>
                <w:rFonts w:ascii="Arial" w:hAnsi="Arial" w:cs="Arial"/>
                <w:sz w:val="24"/>
                <w:szCs w:val="24"/>
              </w:rPr>
            </w:pPr>
            <w:r>
              <w:rPr>
                <w:rFonts w:ascii="Arial" w:hAnsi="Arial" w:cs="Arial"/>
                <w:sz w:val="24"/>
                <w:szCs w:val="24"/>
              </w:rPr>
              <w:t xml:space="preserve">Percentage of members who sit on the Board who are </w:t>
            </w:r>
            <w:r w:rsidR="001135D0">
              <w:rPr>
                <w:rFonts w:ascii="Arial" w:hAnsi="Arial" w:cs="Arial"/>
                <w:sz w:val="24"/>
                <w:szCs w:val="24"/>
              </w:rPr>
              <w:t>either W</w:t>
            </w:r>
            <w:r>
              <w:rPr>
                <w:rFonts w:ascii="Arial" w:hAnsi="Arial" w:cs="Arial"/>
                <w:sz w:val="24"/>
                <w:szCs w:val="24"/>
              </w:rPr>
              <w:t xml:space="preserve">hite/BME or </w:t>
            </w:r>
            <w:r w:rsidR="001135D0">
              <w:rPr>
                <w:rFonts w:ascii="Arial" w:hAnsi="Arial" w:cs="Arial"/>
                <w:sz w:val="24"/>
                <w:szCs w:val="24"/>
              </w:rPr>
              <w:t xml:space="preserve">status </w:t>
            </w:r>
            <w:r>
              <w:rPr>
                <w:rFonts w:ascii="Arial" w:hAnsi="Arial" w:cs="Arial"/>
                <w:sz w:val="24"/>
                <w:szCs w:val="24"/>
              </w:rPr>
              <w:t xml:space="preserve">unknown </w:t>
            </w:r>
          </w:p>
        </w:tc>
        <w:tc>
          <w:tcPr>
            <w:tcW w:w="2254" w:type="dxa"/>
          </w:tcPr>
          <w:p w14:paraId="0E9592FB" w14:textId="75654792" w:rsidR="000E3A9A" w:rsidRPr="009F2DE9" w:rsidRDefault="00FE08C0" w:rsidP="000E3A9A">
            <w:pPr>
              <w:jc w:val="center"/>
              <w:rPr>
                <w:rFonts w:ascii="Arial" w:hAnsi="Arial" w:cs="Arial"/>
                <w:sz w:val="24"/>
                <w:szCs w:val="24"/>
              </w:rPr>
            </w:pPr>
            <w:r w:rsidRPr="009F2DE9">
              <w:rPr>
                <w:rFonts w:ascii="Arial" w:hAnsi="Arial" w:cs="Arial"/>
                <w:sz w:val="24"/>
                <w:szCs w:val="24"/>
              </w:rPr>
              <w:t>41.2%</w:t>
            </w:r>
          </w:p>
        </w:tc>
        <w:tc>
          <w:tcPr>
            <w:tcW w:w="2254" w:type="dxa"/>
          </w:tcPr>
          <w:p w14:paraId="25027F24" w14:textId="463DE0AB" w:rsidR="000E3A9A" w:rsidRPr="009F2DE9" w:rsidRDefault="00FE08C0" w:rsidP="000E3A9A">
            <w:pPr>
              <w:jc w:val="center"/>
              <w:rPr>
                <w:rFonts w:ascii="Arial" w:hAnsi="Arial" w:cs="Arial"/>
                <w:sz w:val="24"/>
                <w:szCs w:val="24"/>
              </w:rPr>
            </w:pPr>
            <w:r w:rsidRPr="009F2DE9">
              <w:rPr>
                <w:rFonts w:ascii="Arial" w:hAnsi="Arial" w:cs="Arial"/>
                <w:sz w:val="24"/>
                <w:szCs w:val="24"/>
              </w:rPr>
              <w:t>5.9%</w:t>
            </w:r>
          </w:p>
        </w:tc>
        <w:tc>
          <w:tcPr>
            <w:tcW w:w="2254" w:type="dxa"/>
            <w:shd w:val="clear" w:color="auto" w:fill="FFFFFF" w:themeFill="background1"/>
          </w:tcPr>
          <w:p w14:paraId="113B0CC6" w14:textId="0DB61D9D" w:rsidR="000E3A9A" w:rsidRPr="009F2DE9" w:rsidRDefault="00FE08C0" w:rsidP="000E3A9A">
            <w:pPr>
              <w:jc w:val="center"/>
              <w:rPr>
                <w:rFonts w:ascii="Arial" w:hAnsi="Arial" w:cs="Arial"/>
                <w:sz w:val="24"/>
                <w:szCs w:val="24"/>
              </w:rPr>
            </w:pPr>
            <w:r w:rsidRPr="009F2DE9">
              <w:rPr>
                <w:rFonts w:ascii="Arial" w:hAnsi="Arial" w:cs="Arial"/>
                <w:sz w:val="24"/>
                <w:szCs w:val="24"/>
              </w:rPr>
              <w:t>52.9%</w:t>
            </w:r>
          </w:p>
        </w:tc>
      </w:tr>
      <w:tr w:rsidR="000E3A9A" w:rsidRPr="009F2DE9" w14:paraId="4AEC2720" w14:textId="2165BE54" w:rsidTr="00647A28">
        <w:trPr>
          <w:jc w:val="center"/>
        </w:trPr>
        <w:tc>
          <w:tcPr>
            <w:tcW w:w="2254" w:type="dxa"/>
            <w:vAlign w:val="center"/>
          </w:tcPr>
          <w:p w14:paraId="3540A2FC" w14:textId="77777777" w:rsidR="000E3A9A" w:rsidRPr="009F2DE9" w:rsidRDefault="000E3A9A" w:rsidP="000E3A9A">
            <w:pPr>
              <w:rPr>
                <w:rFonts w:ascii="Arial" w:hAnsi="Arial" w:cs="Arial"/>
                <w:sz w:val="24"/>
                <w:szCs w:val="24"/>
              </w:rPr>
            </w:pPr>
            <w:r w:rsidRPr="009F2DE9">
              <w:rPr>
                <w:rFonts w:ascii="Arial" w:hAnsi="Arial" w:cs="Arial"/>
                <w:sz w:val="24"/>
                <w:szCs w:val="24"/>
              </w:rPr>
              <w:t>Of which, Voting members</w:t>
            </w:r>
          </w:p>
        </w:tc>
        <w:tc>
          <w:tcPr>
            <w:tcW w:w="2254" w:type="dxa"/>
          </w:tcPr>
          <w:p w14:paraId="42F9D1E5" w14:textId="1AAE775F" w:rsidR="000E3A9A" w:rsidRPr="009F2DE9" w:rsidRDefault="00FE08C0" w:rsidP="000E3A9A">
            <w:pPr>
              <w:jc w:val="center"/>
              <w:rPr>
                <w:rFonts w:ascii="Arial" w:hAnsi="Arial" w:cs="Arial"/>
                <w:sz w:val="24"/>
                <w:szCs w:val="24"/>
              </w:rPr>
            </w:pPr>
            <w:r w:rsidRPr="009F2DE9">
              <w:rPr>
                <w:rFonts w:ascii="Arial" w:hAnsi="Arial" w:cs="Arial"/>
                <w:sz w:val="24"/>
                <w:szCs w:val="24"/>
              </w:rPr>
              <w:t>41.2%</w:t>
            </w:r>
          </w:p>
        </w:tc>
        <w:tc>
          <w:tcPr>
            <w:tcW w:w="2254" w:type="dxa"/>
            <w:shd w:val="clear" w:color="auto" w:fill="FFFFFF" w:themeFill="background1"/>
          </w:tcPr>
          <w:p w14:paraId="48DADE4D" w14:textId="03610717" w:rsidR="000E3A9A" w:rsidRPr="009F2DE9" w:rsidRDefault="00FE08C0" w:rsidP="000E3A9A">
            <w:pPr>
              <w:jc w:val="center"/>
              <w:rPr>
                <w:rFonts w:ascii="Arial" w:hAnsi="Arial" w:cs="Arial"/>
                <w:sz w:val="24"/>
                <w:szCs w:val="24"/>
              </w:rPr>
            </w:pPr>
            <w:r w:rsidRPr="009F2DE9">
              <w:rPr>
                <w:rFonts w:ascii="Arial" w:hAnsi="Arial" w:cs="Arial"/>
                <w:sz w:val="24"/>
                <w:szCs w:val="24"/>
              </w:rPr>
              <w:t>5.9%</w:t>
            </w:r>
          </w:p>
        </w:tc>
        <w:tc>
          <w:tcPr>
            <w:tcW w:w="2254" w:type="dxa"/>
            <w:shd w:val="clear" w:color="auto" w:fill="FFFFFF" w:themeFill="background1"/>
          </w:tcPr>
          <w:p w14:paraId="57437169" w14:textId="3BE4D378" w:rsidR="000E3A9A" w:rsidRPr="009F2DE9" w:rsidRDefault="00FE08C0" w:rsidP="000E3A9A">
            <w:pPr>
              <w:jc w:val="center"/>
              <w:rPr>
                <w:rFonts w:ascii="Arial" w:hAnsi="Arial" w:cs="Arial"/>
                <w:sz w:val="24"/>
                <w:szCs w:val="24"/>
              </w:rPr>
            </w:pPr>
            <w:r w:rsidRPr="009F2DE9">
              <w:rPr>
                <w:rFonts w:ascii="Arial" w:hAnsi="Arial" w:cs="Arial"/>
                <w:sz w:val="24"/>
                <w:szCs w:val="24"/>
              </w:rPr>
              <w:t xml:space="preserve">52.9% </w:t>
            </w:r>
          </w:p>
        </w:tc>
      </w:tr>
      <w:tr w:rsidR="000E3A9A" w:rsidRPr="009F2DE9" w14:paraId="0FAD0707" w14:textId="51629B44" w:rsidTr="00647A28">
        <w:trPr>
          <w:jc w:val="center"/>
        </w:trPr>
        <w:tc>
          <w:tcPr>
            <w:tcW w:w="2254" w:type="dxa"/>
            <w:vAlign w:val="center"/>
          </w:tcPr>
          <w:p w14:paraId="60A5CC7E" w14:textId="77777777" w:rsidR="000E3A9A" w:rsidRPr="009F2DE9" w:rsidRDefault="000E3A9A" w:rsidP="000E3A9A">
            <w:pPr>
              <w:rPr>
                <w:rFonts w:ascii="Arial" w:hAnsi="Arial" w:cs="Arial"/>
                <w:sz w:val="24"/>
                <w:szCs w:val="24"/>
              </w:rPr>
            </w:pPr>
            <w:r w:rsidRPr="009F2DE9">
              <w:rPr>
                <w:rFonts w:ascii="Arial" w:hAnsi="Arial" w:cs="Arial"/>
                <w:sz w:val="24"/>
                <w:szCs w:val="24"/>
              </w:rPr>
              <w:t>Of which, Exec Board members</w:t>
            </w:r>
          </w:p>
        </w:tc>
        <w:tc>
          <w:tcPr>
            <w:tcW w:w="2254" w:type="dxa"/>
          </w:tcPr>
          <w:p w14:paraId="6E3E9102" w14:textId="07865EB2" w:rsidR="000E3A9A" w:rsidRPr="009F2DE9" w:rsidRDefault="00F45AFB" w:rsidP="000E3A9A">
            <w:pPr>
              <w:jc w:val="center"/>
              <w:rPr>
                <w:rFonts w:ascii="Arial" w:hAnsi="Arial" w:cs="Arial"/>
                <w:sz w:val="24"/>
                <w:szCs w:val="24"/>
              </w:rPr>
            </w:pPr>
            <w:r w:rsidRPr="009F2DE9">
              <w:rPr>
                <w:rFonts w:ascii="Arial" w:hAnsi="Arial" w:cs="Arial"/>
                <w:sz w:val="24"/>
                <w:szCs w:val="24"/>
              </w:rPr>
              <w:t>60%</w:t>
            </w:r>
          </w:p>
        </w:tc>
        <w:tc>
          <w:tcPr>
            <w:tcW w:w="2254" w:type="dxa"/>
            <w:shd w:val="clear" w:color="auto" w:fill="FFFFFF" w:themeFill="background1"/>
          </w:tcPr>
          <w:p w14:paraId="7BDA54DB" w14:textId="1A0D188A" w:rsidR="000E3A9A" w:rsidRPr="009F2DE9" w:rsidRDefault="000E3A9A" w:rsidP="000E3A9A">
            <w:pPr>
              <w:jc w:val="center"/>
              <w:rPr>
                <w:rFonts w:ascii="Arial" w:hAnsi="Arial" w:cs="Arial"/>
                <w:sz w:val="24"/>
                <w:szCs w:val="24"/>
              </w:rPr>
            </w:pPr>
            <w:r w:rsidRPr="009F2DE9">
              <w:rPr>
                <w:rFonts w:ascii="Arial" w:hAnsi="Arial" w:cs="Arial"/>
                <w:sz w:val="24"/>
                <w:szCs w:val="24"/>
              </w:rPr>
              <w:t>0</w:t>
            </w:r>
          </w:p>
        </w:tc>
        <w:tc>
          <w:tcPr>
            <w:tcW w:w="2254" w:type="dxa"/>
            <w:shd w:val="clear" w:color="auto" w:fill="FFFFFF" w:themeFill="background1"/>
          </w:tcPr>
          <w:p w14:paraId="4EEB5C8A" w14:textId="0FD00336" w:rsidR="000E3A9A" w:rsidRPr="009F2DE9" w:rsidRDefault="00F45AFB" w:rsidP="000E3A9A">
            <w:pPr>
              <w:jc w:val="center"/>
              <w:rPr>
                <w:rFonts w:ascii="Arial" w:hAnsi="Arial" w:cs="Arial"/>
                <w:sz w:val="24"/>
                <w:szCs w:val="24"/>
              </w:rPr>
            </w:pPr>
            <w:r w:rsidRPr="009F2DE9">
              <w:rPr>
                <w:rFonts w:ascii="Arial" w:hAnsi="Arial" w:cs="Arial"/>
                <w:sz w:val="24"/>
                <w:szCs w:val="24"/>
              </w:rPr>
              <w:t>40%</w:t>
            </w:r>
          </w:p>
        </w:tc>
      </w:tr>
      <w:tr w:rsidR="00F45AFB" w:rsidRPr="009F2DE9" w14:paraId="1B814B7E" w14:textId="77777777" w:rsidTr="00647A28">
        <w:trPr>
          <w:jc w:val="center"/>
        </w:trPr>
        <w:tc>
          <w:tcPr>
            <w:tcW w:w="2254" w:type="dxa"/>
            <w:vAlign w:val="center"/>
          </w:tcPr>
          <w:p w14:paraId="2D291624" w14:textId="663E3ED7" w:rsidR="00F45AFB" w:rsidRPr="009F2DE9" w:rsidRDefault="006800C9" w:rsidP="000E3A9A">
            <w:pPr>
              <w:rPr>
                <w:rFonts w:ascii="Arial" w:hAnsi="Arial" w:cs="Arial"/>
                <w:sz w:val="24"/>
                <w:szCs w:val="24"/>
              </w:rPr>
            </w:pPr>
            <w:r w:rsidRPr="009F2DE9">
              <w:rPr>
                <w:rFonts w:ascii="Arial" w:hAnsi="Arial" w:cs="Arial"/>
                <w:sz w:val="24"/>
                <w:szCs w:val="24"/>
              </w:rPr>
              <w:t>Non-Executive</w:t>
            </w:r>
          </w:p>
        </w:tc>
        <w:tc>
          <w:tcPr>
            <w:tcW w:w="2254" w:type="dxa"/>
          </w:tcPr>
          <w:p w14:paraId="1C433F9E" w14:textId="03066AED" w:rsidR="00F45AFB" w:rsidRPr="009F2DE9" w:rsidRDefault="00F45AFB" w:rsidP="000E3A9A">
            <w:pPr>
              <w:jc w:val="center"/>
              <w:rPr>
                <w:rFonts w:ascii="Arial" w:hAnsi="Arial" w:cs="Arial"/>
                <w:sz w:val="24"/>
                <w:szCs w:val="24"/>
              </w:rPr>
            </w:pPr>
            <w:r w:rsidRPr="009F2DE9">
              <w:rPr>
                <w:rFonts w:ascii="Arial" w:hAnsi="Arial" w:cs="Arial"/>
                <w:sz w:val="24"/>
                <w:szCs w:val="24"/>
              </w:rPr>
              <w:t>33.3%</w:t>
            </w:r>
          </w:p>
        </w:tc>
        <w:tc>
          <w:tcPr>
            <w:tcW w:w="2254" w:type="dxa"/>
            <w:shd w:val="clear" w:color="auto" w:fill="FFFFFF" w:themeFill="background1"/>
          </w:tcPr>
          <w:p w14:paraId="5AEC5063" w14:textId="46995ED9" w:rsidR="00F45AFB" w:rsidRPr="009F2DE9" w:rsidRDefault="00F45AFB" w:rsidP="000E3A9A">
            <w:pPr>
              <w:jc w:val="center"/>
              <w:rPr>
                <w:rFonts w:ascii="Arial" w:hAnsi="Arial" w:cs="Arial"/>
                <w:sz w:val="24"/>
                <w:szCs w:val="24"/>
              </w:rPr>
            </w:pPr>
            <w:r w:rsidRPr="009F2DE9">
              <w:rPr>
                <w:rFonts w:ascii="Arial" w:hAnsi="Arial" w:cs="Arial"/>
                <w:sz w:val="24"/>
                <w:szCs w:val="24"/>
              </w:rPr>
              <w:t>8.3%</w:t>
            </w:r>
          </w:p>
        </w:tc>
        <w:tc>
          <w:tcPr>
            <w:tcW w:w="2254" w:type="dxa"/>
            <w:shd w:val="clear" w:color="auto" w:fill="FFFFFF" w:themeFill="background1"/>
          </w:tcPr>
          <w:p w14:paraId="36D4C473" w14:textId="3D1849F4" w:rsidR="00F45AFB" w:rsidRPr="009F2DE9" w:rsidRDefault="00F45AFB" w:rsidP="000E3A9A">
            <w:pPr>
              <w:jc w:val="center"/>
              <w:rPr>
                <w:rFonts w:ascii="Arial" w:hAnsi="Arial" w:cs="Arial"/>
                <w:sz w:val="24"/>
                <w:szCs w:val="24"/>
              </w:rPr>
            </w:pPr>
            <w:r w:rsidRPr="009F2DE9">
              <w:rPr>
                <w:rFonts w:ascii="Arial" w:hAnsi="Arial" w:cs="Arial"/>
                <w:sz w:val="24"/>
                <w:szCs w:val="24"/>
              </w:rPr>
              <w:t>58.3%</w:t>
            </w:r>
          </w:p>
        </w:tc>
      </w:tr>
    </w:tbl>
    <w:bookmarkEnd w:id="7"/>
    <w:p w14:paraId="7BF35475" w14:textId="26A69DE0" w:rsidR="00E900DE" w:rsidRPr="009F2DE9" w:rsidRDefault="00E900DE" w:rsidP="00E900DE">
      <w:pPr>
        <w:spacing w:after="0" w:line="240" w:lineRule="auto"/>
        <w:rPr>
          <w:rFonts w:ascii="Arial" w:hAnsi="Arial" w:cs="Arial"/>
          <w:sz w:val="24"/>
          <w:szCs w:val="24"/>
        </w:rPr>
      </w:pPr>
      <w:r w:rsidRPr="009F2DE9">
        <w:rPr>
          <w:rFonts w:ascii="Arial" w:hAnsi="Arial" w:cs="Arial"/>
          <w:sz w:val="24"/>
          <w:szCs w:val="24"/>
        </w:rPr>
        <w:t xml:space="preserve">* </w:t>
      </w:r>
      <w:r w:rsidR="000E3A9A" w:rsidRPr="009F2DE9">
        <w:rPr>
          <w:rFonts w:ascii="Arial" w:hAnsi="Arial" w:cs="Arial"/>
          <w:sz w:val="24"/>
          <w:szCs w:val="24"/>
        </w:rPr>
        <w:t>ICB</w:t>
      </w:r>
      <w:r w:rsidRPr="009F2DE9">
        <w:rPr>
          <w:rFonts w:ascii="Arial" w:hAnsi="Arial" w:cs="Arial"/>
          <w:sz w:val="24"/>
          <w:szCs w:val="24"/>
        </w:rPr>
        <w:t xml:space="preserve"> area </w:t>
      </w:r>
      <w:r w:rsidR="00147FC3">
        <w:rPr>
          <w:rFonts w:ascii="Arial" w:hAnsi="Arial" w:cs="Arial"/>
          <w:sz w:val="24"/>
          <w:szCs w:val="24"/>
        </w:rPr>
        <w:t>BME</w:t>
      </w:r>
      <w:r w:rsidRPr="009F2DE9">
        <w:rPr>
          <w:rFonts w:ascii="Arial" w:hAnsi="Arial" w:cs="Arial"/>
          <w:sz w:val="24"/>
          <w:szCs w:val="24"/>
        </w:rPr>
        <w:t xml:space="preserve"> population data taken from 20</w:t>
      </w:r>
      <w:r w:rsidR="00F45AFB" w:rsidRPr="009F2DE9">
        <w:rPr>
          <w:rFonts w:ascii="Arial" w:hAnsi="Arial" w:cs="Arial"/>
          <w:sz w:val="24"/>
          <w:szCs w:val="24"/>
        </w:rPr>
        <w:t>2</w:t>
      </w:r>
      <w:r w:rsidRPr="009F2DE9">
        <w:rPr>
          <w:rFonts w:ascii="Arial" w:hAnsi="Arial" w:cs="Arial"/>
          <w:sz w:val="24"/>
          <w:szCs w:val="24"/>
        </w:rPr>
        <w:t>1 Census</w:t>
      </w:r>
    </w:p>
    <w:p w14:paraId="427A65DA" w14:textId="77777777" w:rsidR="00E900DE" w:rsidRPr="009F2DE9" w:rsidRDefault="00E900DE" w:rsidP="007A0EA0">
      <w:pPr>
        <w:pStyle w:val="Default"/>
      </w:pPr>
    </w:p>
    <w:p w14:paraId="36031D3F" w14:textId="42C0B0E9" w:rsidR="00D85595" w:rsidRDefault="00A1711D" w:rsidP="007A0EA0">
      <w:pPr>
        <w:pStyle w:val="Default"/>
        <w:rPr>
          <w:b/>
          <w:bCs/>
        </w:rPr>
      </w:pPr>
      <w:r>
        <w:rPr>
          <w:noProof/>
        </w:rPr>
        <w:lastRenderedPageBreak/>
        <w:drawing>
          <wp:inline distT="0" distB="0" distL="0" distR="0" wp14:anchorId="754FAA71" wp14:editId="76C6FE09">
            <wp:extent cx="5751226" cy="2760481"/>
            <wp:effectExtent l="0" t="0" r="1905" b="1905"/>
            <wp:docPr id="134262365" name="Chart 1" descr="Graph showing the number of BME voting members compared to the population/workforce">
              <a:extLst xmlns:a="http://schemas.openxmlformats.org/drawingml/2006/main">
                <a:ext uri="{FF2B5EF4-FFF2-40B4-BE49-F238E27FC236}">
                  <a16:creationId xmlns:a16="http://schemas.microsoft.com/office/drawing/2014/main" id="{4BEF83E7-FB7E-7EB6-49BA-C74A34783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32E51F" w14:textId="77777777" w:rsidR="00D85595" w:rsidRDefault="00D85595" w:rsidP="007A0EA0">
      <w:pPr>
        <w:pStyle w:val="Default"/>
        <w:rPr>
          <w:b/>
          <w:bCs/>
        </w:rPr>
      </w:pPr>
    </w:p>
    <w:p w14:paraId="108CDFAB" w14:textId="77777777" w:rsidR="00D85595" w:rsidRPr="009F2DE9" w:rsidRDefault="00D85595" w:rsidP="007A0EA0">
      <w:pPr>
        <w:pStyle w:val="Default"/>
        <w:rPr>
          <w:b/>
          <w:bCs/>
        </w:rPr>
      </w:pPr>
    </w:p>
    <w:p w14:paraId="61107D10" w14:textId="77777777" w:rsidR="006800C9" w:rsidRDefault="003D37F0" w:rsidP="008D6FE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Analysis of i</w:t>
      </w:r>
      <w:r w:rsidR="00960BD2" w:rsidRPr="009F2DE9">
        <w:rPr>
          <w:rFonts w:ascii="Arial" w:hAnsi="Arial" w:cs="Arial"/>
          <w:b/>
          <w:bCs/>
          <w:color w:val="000000"/>
          <w:sz w:val="24"/>
          <w:szCs w:val="24"/>
        </w:rPr>
        <w:t>ndicator 9.</w:t>
      </w:r>
      <w:r w:rsidR="00960BD2" w:rsidRPr="009F2DE9">
        <w:rPr>
          <w:rFonts w:ascii="Arial" w:hAnsi="Arial" w:cs="Arial"/>
          <w:color w:val="000000"/>
          <w:sz w:val="24"/>
          <w:szCs w:val="24"/>
        </w:rPr>
        <w:t xml:space="preserve"> </w:t>
      </w:r>
    </w:p>
    <w:p w14:paraId="5ADFC256" w14:textId="77777777" w:rsidR="006800C9" w:rsidRDefault="006800C9" w:rsidP="008D6FE1">
      <w:pPr>
        <w:autoSpaceDE w:val="0"/>
        <w:autoSpaceDN w:val="0"/>
        <w:adjustRightInd w:val="0"/>
        <w:spacing w:after="0" w:line="240" w:lineRule="auto"/>
        <w:rPr>
          <w:rFonts w:ascii="Arial" w:hAnsi="Arial" w:cs="Arial"/>
          <w:color w:val="000000"/>
          <w:sz w:val="24"/>
          <w:szCs w:val="24"/>
        </w:rPr>
      </w:pPr>
    </w:p>
    <w:p w14:paraId="482F14E7" w14:textId="2E73AE80" w:rsidR="00D624A0" w:rsidRPr="007B4123" w:rsidRDefault="00FD7E46" w:rsidP="008D6FE1">
      <w:pPr>
        <w:autoSpaceDE w:val="0"/>
        <w:autoSpaceDN w:val="0"/>
        <w:adjustRightInd w:val="0"/>
        <w:spacing w:after="0" w:line="240" w:lineRule="auto"/>
        <w:rPr>
          <w:rFonts w:ascii="Arial" w:eastAsia="Times New Roman" w:hAnsi="Arial" w:cs="Arial"/>
          <w:b/>
          <w:bCs/>
          <w:sz w:val="24"/>
          <w:szCs w:val="24"/>
          <w:lang w:eastAsia="en-GB"/>
        </w:rPr>
      </w:pPr>
      <w:r w:rsidRPr="009F2DE9">
        <w:rPr>
          <w:rFonts w:ascii="Arial" w:hAnsi="Arial" w:cs="Arial"/>
          <w:color w:val="000000"/>
          <w:sz w:val="24"/>
          <w:szCs w:val="24"/>
        </w:rPr>
        <w:t xml:space="preserve">The total number of </w:t>
      </w:r>
      <w:r w:rsidR="00147FC3">
        <w:rPr>
          <w:rFonts w:ascii="Arial" w:hAnsi="Arial" w:cs="Arial"/>
          <w:color w:val="000000"/>
          <w:sz w:val="24"/>
          <w:szCs w:val="24"/>
        </w:rPr>
        <w:t>BME</w:t>
      </w:r>
      <w:r w:rsidRPr="009F2DE9">
        <w:rPr>
          <w:rFonts w:ascii="Arial" w:hAnsi="Arial" w:cs="Arial"/>
          <w:color w:val="000000"/>
          <w:sz w:val="24"/>
          <w:szCs w:val="24"/>
        </w:rPr>
        <w:t xml:space="preserve"> members on </w:t>
      </w:r>
      <w:r w:rsidR="008D6FE1" w:rsidRPr="009F2DE9">
        <w:rPr>
          <w:rFonts w:ascii="Arial" w:hAnsi="Arial" w:cs="Arial"/>
          <w:color w:val="000000"/>
          <w:sz w:val="24"/>
          <w:szCs w:val="24"/>
        </w:rPr>
        <w:t>the ICB Board</w:t>
      </w:r>
      <w:r w:rsidR="00154249" w:rsidRPr="009F2DE9">
        <w:rPr>
          <w:rFonts w:ascii="Arial" w:hAnsi="Arial" w:cs="Arial"/>
          <w:color w:val="000000"/>
          <w:sz w:val="24"/>
          <w:szCs w:val="24"/>
        </w:rPr>
        <w:t xml:space="preserve"> is</w:t>
      </w:r>
      <w:r w:rsidR="008D6FE1" w:rsidRPr="009F2DE9">
        <w:rPr>
          <w:rFonts w:ascii="Arial" w:hAnsi="Arial" w:cs="Arial"/>
          <w:color w:val="000000"/>
          <w:sz w:val="24"/>
          <w:szCs w:val="24"/>
        </w:rPr>
        <w:t xml:space="preserve"> 5.9% </w:t>
      </w:r>
      <w:r w:rsidR="00877211" w:rsidRPr="009F2DE9">
        <w:rPr>
          <w:rFonts w:ascii="Arial" w:hAnsi="Arial" w:cs="Arial"/>
          <w:color w:val="000000"/>
          <w:sz w:val="24"/>
          <w:szCs w:val="24"/>
        </w:rPr>
        <w:t xml:space="preserve">(and voting) </w:t>
      </w:r>
      <w:r w:rsidRPr="009F2DE9">
        <w:rPr>
          <w:rFonts w:ascii="Arial" w:hAnsi="Arial" w:cs="Arial"/>
          <w:color w:val="000000"/>
          <w:sz w:val="24"/>
          <w:szCs w:val="24"/>
        </w:rPr>
        <w:t xml:space="preserve">which is </w:t>
      </w:r>
      <w:r w:rsidR="008D6FE1" w:rsidRPr="009F2DE9">
        <w:rPr>
          <w:rFonts w:ascii="Arial" w:hAnsi="Arial" w:cs="Arial"/>
          <w:color w:val="000000"/>
          <w:sz w:val="24"/>
          <w:szCs w:val="24"/>
        </w:rPr>
        <w:t xml:space="preserve">less than </w:t>
      </w:r>
      <w:r w:rsidRPr="009F2DE9">
        <w:rPr>
          <w:rFonts w:ascii="Arial" w:hAnsi="Arial" w:cs="Arial"/>
          <w:color w:val="000000"/>
          <w:sz w:val="24"/>
          <w:szCs w:val="24"/>
        </w:rPr>
        <w:t xml:space="preserve">representative </w:t>
      </w:r>
      <w:r w:rsidR="00826611" w:rsidRPr="009F2DE9">
        <w:rPr>
          <w:rFonts w:ascii="Arial" w:hAnsi="Arial" w:cs="Arial"/>
          <w:color w:val="000000"/>
          <w:sz w:val="24"/>
          <w:szCs w:val="24"/>
        </w:rPr>
        <w:t xml:space="preserve">of </w:t>
      </w:r>
      <w:r w:rsidRPr="009F2DE9">
        <w:rPr>
          <w:rFonts w:ascii="Arial" w:hAnsi="Arial" w:cs="Arial"/>
          <w:color w:val="000000"/>
          <w:sz w:val="24"/>
          <w:szCs w:val="24"/>
        </w:rPr>
        <w:t xml:space="preserve">the workforce and local demographic profile. </w:t>
      </w:r>
      <w:r w:rsidR="00826611" w:rsidRPr="009F2DE9">
        <w:rPr>
          <w:rFonts w:ascii="Arial" w:hAnsi="Arial" w:cs="Arial"/>
          <w:color w:val="000000"/>
          <w:sz w:val="24"/>
          <w:szCs w:val="24"/>
        </w:rPr>
        <w:t xml:space="preserve"> </w:t>
      </w:r>
      <w:r w:rsidR="00CF5AF2">
        <w:rPr>
          <w:rFonts w:ascii="Arial" w:hAnsi="Arial" w:cs="Arial"/>
          <w:color w:val="000000"/>
          <w:sz w:val="24"/>
          <w:szCs w:val="24"/>
        </w:rPr>
        <w:t>There were 52.9% of board members who did not register their ethnicity.</w:t>
      </w:r>
      <w:r w:rsidR="007B4123">
        <w:rPr>
          <w:rFonts w:ascii="Arial" w:hAnsi="Arial" w:cs="Arial"/>
          <w:color w:val="000000"/>
          <w:sz w:val="24"/>
          <w:szCs w:val="24"/>
        </w:rPr>
        <w:t xml:space="preserve"> </w:t>
      </w:r>
      <w:r w:rsidR="007B4123" w:rsidRPr="007B4123">
        <w:rPr>
          <w:rFonts w:ascii="Arial" w:hAnsi="Arial" w:cs="Arial"/>
          <w:b/>
          <w:bCs/>
          <w:color w:val="000000"/>
          <w:sz w:val="24"/>
          <w:szCs w:val="24"/>
        </w:rPr>
        <w:t>However, it is recognised that the data is not truly reflective as not all the Board members are on the ICB payroll.</w:t>
      </w:r>
    </w:p>
    <w:p w14:paraId="7DAAA173" w14:textId="77777777" w:rsidR="00044402" w:rsidRPr="009F2DE9" w:rsidRDefault="00044402" w:rsidP="00044402">
      <w:pPr>
        <w:pStyle w:val="ListParagraph"/>
        <w:autoSpaceDE w:val="0"/>
        <w:autoSpaceDN w:val="0"/>
        <w:adjustRightInd w:val="0"/>
        <w:spacing w:after="0" w:line="240" w:lineRule="auto"/>
        <w:rPr>
          <w:rFonts w:ascii="Arial" w:eastAsia="Times New Roman" w:hAnsi="Arial" w:cs="Arial"/>
          <w:b/>
          <w:bCs/>
          <w:sz w:val="24"/>
          <w:szCs w:val="24"/>
          <w:lang w:eastAsia="en-GB"/>
        </w:rPr>
      </w:pPr>
    </w:p>
    <w:p w14:paraId="7347CD5C" w14:textId="3FDACE74" w:rsidR="00C31DFF" w:rsidRPr="009F2DE9" w:rsidRDefault="00C31DFF" w:rsidP="00C31DFF">
      <w:pPr>
        <w:spacing w:after="0" w:line="240" w:lineRule="auto"/>
        <w:rPr>
          <w:rFonts w:ascii="Arial" w:hAnsi="Arial" w:cs="Arial"/>
          <w:b/>
          <w:bCs/>
          <w:sz w:val="24"/>
          <w:szCs w:val="24"/>
          <w:lang w:eastAsia="en-GB"/>
        </w:rPr>
      </w:pPr>
      <w:r w:rsidRPr="009F2DE9">
        <w:rPr>
          <w:rFonts w:ascii="Arial" w:eastAsia="Times New Roman" w:hAnsi="Arial" w:cs="Arial"/>
          <w:b/>
          <w:bCs/>
          <w:sz w:val="24"/>
          <w:szCs w:val="24"/>
          <w:lang w:eastAsia="en-GB"/>
        </w:rPr>
        <w:t>Contract monitoring arrangements and the WRES</w:t>
      </w:r>
    </w:p>
    <w:p w14:paraId="249E30DE" w14:textId="77777777" w:rsidR="00C31DFF" w:rsidRPr="009F2DE9" w:rsidRDefault="00C31DFF" w:rsidP="00C31DFF">
      <w:pPr>
        <w:spacing w:after="0" w:line="240" w:lineRule="auto"/>
        <w:rPr>
          <w:rFonts w:ascii="Arial" w:eastAsia="Times New Roman" w:hAnsi="Arial" w:cs="Arial"/>
          <w:sz w:val="24"/>
          <w:szCs w:val="24"/>
          <w:lang w:eastAsia="en-GB"/>
        </w:rPr>
      </w:pPr>
    </w:p>
    <w:p w14:paraId="63C58498" w14:textId="29FF5D6D" w:rsidR="00C31DFF" w:rsidRPr="009F2DE9" w:rsidRDefault="00C31DFF" w:rsidP="0076459F">
      <w:pPr>
        <w:pStyle w:val="ListParagraph"/>
        <w:numPr>
          <w:ilvl w:val="0"/>
          <w:numId w:val="2"/>
        </w:numPr>
        <w:spacing w:after="0" w:line="240" w:lineRule="auto"/>
        <w:rPr>
          <w:rFonts w:ascii="Arial" w:eastAsia="Times New Roman" w:hAnsi="Arial" w:cs="Arial"/>
          <w:sz w:val="24"/>
          <w:szCs w:val="24"/>
          <w:lang w:eastAsia="en-GB"/>
        </w:rPr>
      </w:pPr>
      <w:r w:rsidRPr="009F2DE9">
        <w:rPr>
          <w:rFonts w:ascii="Arial" w:eastAsia="Times New Roman" w:hAnsi="Arial" w:cs="Arial"/>
          <w:sz w:val="24"/>
          <w:szCs w:val="24"/>
          <w:lang w:eastAsia="en-GB"/>
        </w:rPr>
        <w:t xml:space="preserve">The </w:t>
      </w:r>
      <w:r w:rsidR="008D6FE1" w:rsidRPr="009F2DE9">
        <w:rPr>
          <w:rFonts w:ascii="Arial" w:eastAsia="Times New Roman" w:hAnsi="Arial" w:cs="Arial"/>
          <w:sz w:val="24"/>
          <w:szCs w:val="24"/>
          <w:lang w:eastAsia="en-GB"/>
        </w:rPr>
        <w:t xml:space="preserve">ICB </w:t>
      </w:r>
      <w:r w:rsidRPr="009F2DE9">
        <w:rPr>
          <w:rFonts w:ascii="Arial" w:eastAsia="Times New Roman" w:hAnsi="Arial" w:cs="Arial"/>
          <w:sz w:val="24"/>
          <w:szCs w:val="24"/>
          <w:lang w:eastAsia="en-GB"/>
        </w:rPr>
        <w:t>with support from the Quality Team continues to ensure that the WRES is being monitored through the full NHS contract.  The</w:t>
      </w:r>
      <w:r w:rsidR="008D6FE1" w:rsidRPr="009F2DE9">
        <w:rPr>
          <w:rFonts w:ascii="Arial" w:eastAsia="Times New Roman" w:hAnsi="Arial" w:cs="Arial"/>
          <w:sz w:val="24"/>
          <w:szCs w:val="24"/>
          <w:lang w:eastAsia="en-GB"/>
        </w:rPr>
        <w:t xml:space="preserve"> ICB</w:t>
      </w:r>
      <w:r w:rsidRPr="009F2DE9">
        <w:rPr>
          <w:rFonts w:ascii="Arial" w:eastAsia="Times New Roman" w:hAnsi="Arial" w:cs="Arial"/>
          <w:sz w:val="24"/>
          <w:szCs w:val="24"/>
          <w:lang w:eastAsia="en-GB"/>
        </w:rPr>
        <w:t xml:space="preserve"> receives regular reports and is assured that the WRES is being reported and monitored through </w:t>
      </w:r>
      <w:r w:rsidR="002A3712" w:rsidRPr="009F2DE9">
        <w:rPr>
          <w:rFonts w:ascii="Arial" w:eastAsia="Times New Roman" w:hAnsi="Arial" w:cs="Arial"/>
          <w:sz w:val="24"/>
          <w:szCs w:val="24"/>
          <w:lang w:eastAsia="en-GB"/>
        </w:rPr>
        <w:t xml:space="preserve">its </w:t>
      </w:r>
      <w:r w:rsidRPr="009F2DE9">
        <w:rPr>
          <w:rFonts w:ascii="Arial" w:eastAsia="Times New Roman" w:hAnsi="Arial" w:cs="Arial"/>
          <w:sz w:val="24"/>
          <w:szCs w:val="24"/>
          <w:lang w:eastAsia="en-GB"/>
        </w:rPr>
        <w:t>governance arrangements.</w:t>
      </w:r>
    </w:p>
    <w:p w14:paraId="3FE29E89" w14:textId="0FD8F554" w:rsidR="00F7444F" w:rsidRDefault="00F7444F" w:rsidP="00F7444F">
      <w:pPr>
        <w:spacing w:after="0" w:line="240" w:lineRule="auto"/>
        <w:rPr>
          <w:rFonts w:ascii="Arial" w:eastAsia="Times New Roman" w:hAnsi="Arial" w:cs="Arial"/>
          <w:sz w:val="24"/>
          <w:szCs w:val="24"/>
          <w:lang w:eastAsia="en-GB"/>
        </w:rPr>
      </w:pPr>
    </w:p>
    <w:p w14:paraId="093FB9AF" w14:textId="77777777" w:rsidR="00A541E7" w:rsidRDefault="00A541E7" w:rsidP="00462F03">
      <w:pPr>
        <w:spacing w:after="0" w:line="240" w:lineRule="auto"/>
        <w:ind w:right="-330"/>
        <w:rPr>
          <w:rFonts w:ascii="Arial" w:eastAsia="Times New Roman" w:hAnsi="Arial" w:cs="Arial"/>
          <w:b/>
          <w:bCs/>
          <w:sz w:val="24"/>
          <w:szCs w:val="24"/>
          <w:lang w:eastAsia="en-GB"/>
        </w:rPr>
      </w:pPr>
    </w:p>
    <w:p w14:paraId="0133FC7E" w14:textId="77777777" w:rsidR="00A541E7" w:rsidRDefault="00A541E7" w:rsidP="00A541E7">
      <w:pPr>
        <w:rPr>
          <w:rFonts w:ascii="Arial" w:hAnsi="Arial" w:cs="Arial"/>
          <w:b/>
          <w:bCs/>
          <w:sz w:val="24"/>
          <w:szCs w:val="24"/>
        </w:rPr>
      </w:pPr>
      <w:r>
        <w:rPr>
          <w:rFonts w:ascii="Arial" w:hAnsi="Arial" w:cs="Arial"/>
          <w:b/>
          <w:bCs/>
          <w:sz w:val="24"/>
          <w:szCs w:val="24"/>
        </w:rPr>
        <w:t>Accessibility Check</w:t>
      </w:r>
    </w:p>
    <w:p w14:paraId="426A2B97" w14:textId="77777777" w:rsidR="00A541E7" w:rsidRDefault="00A541E7" w:rsidP="00A541E7">
      <w:pPr>
        <w:rPr>
          <w:rFonts w:ascii="Arial" w:hAnsi="Arial" w:cs="Arial"/>
          <w:b/>
          <w:bCs/>
          <w:sz w:val="24"/>
          <w:szCs w:val="24"/>
        </w:rPr>
      </w:pPr>
      <w:r>
        <w:rPr>
          <w:rFonts w:ascii="Arial" w:hAnsi="Arial" w:cs="Arial"/>
          <w:b/>
          <w:bCs/>
          <w:sz w:val="24"/>
          <w:szCs w:val="24"/>
        </w:rPr>
        <w:t>All charts are described in Alt text.</w:t>
      </w:r>
    </w:p>
    <w:p w14:paraId="7E171413" w14:textId="77777777" w:rsidR="00A541E7" w:rsidRDefault="00A541E7" w:rsidP="00A541E7">
      <w:pPr>
        <w:rPr>
          <w:rFonts w:ascii="Arial" w:hAnsi="Arial" w:cs="Arial"/>
          <w:b/>
          <w:bCs/>
          <w:sz w:val="24"/>
          <w:szCs w:val="24"/>
        </w:rPr>
      </w:pPr>
      <w:r>
        <w:rPr>
          <w:rFonts w:ascii="Arial" w:hAnsi="Arial" w:cs="Arial"/>
          <w:b/>
          <w:bCs/>
          <w:sz w:val="24"/>
          <w:szCs w:val="24"/>
        </w:rPr>
        <w:t>Where merged cells exist, the curser moves on logically to next cell.</w:t>
      </w:r>
    </w:p>
    <w:p w14:paraId="566A0880" w14:textId="77777777" w:rsidR="00A541E7" w:rsidRDefault="00A541E7" w:rsidP="00A541E7">
      <w:pPr>
        <w:rPr>
          <w:rFonts w:ascii="Arial" w:hAnsi="Arial" w:cs="Arial"/>
          <w:b/>
          <w:bCs/>
          <w:sz w:val="24"/>
          <w:szCs w:val="24"/>
        </w:rPr>
      </w:pPr>
      <w:r>
        <w:rPr>
          <w:rFonts w:ascii="Arial" w:hAnsi="Arial" w:cs="Arial"/>
          <w:b/>
          <w:bCs/>
          <w:sz w:val="24"/>
          <w:szCs w:val="24"/>
        </w:rPr>
        <w:t>All tables have narrative underneath explaining the overall findings.</w:t>
      </w:r>
    </w:p>
    <w:p w14:paraId="14E43F90" w14:textId="77777777" w:rsidR="00A541E7" w:rsidRDefault="00A541E7" w:rsidP="00462F03">
      <w:pPr>
        <w:spacing w:after="0" w:line="240" w:lineRule="auto"/>
        <w:ind w:right="-330"/>
        <w:rPr>
          <w:rFonts w:ascii="Arial" w:eastAsia="Times New Roman" w:hAnsi="Arial" w:cs="Arial"/>
          <w:b/>
          <w:bCs/>
          <w:sz w:val="24"/>
          <w:szCs w:val="24"/>
          <w:lang w:eastAsia="en-GB"/>
        </w:rPr>
      </w:pPr>
    </w:p>
    <w:p w14:paraId="77A21BE6" w14:textId="77777777" w:rsidR="00A541E7" w:rsidRDefault="00A541E7" w:rsidP="00462F03">
      <w:pPr>
        <w:spacing w:after="0" w:line="240" w:lineRule="auto"/>
        <w:ind w:right="-330"/>
        <w:rPr>
          <w:rFonts w:ascii="Arial" w:eastAsia="Times New Roman" w:hAnsi="Arial" w:cs="Arial"/>
          <w:b/>
          <w:bCs/>
          <w:sz w:val="24"/>
          <w:szCs w:val="24"/>
          <w:lang w:eastAsia="en-GB"/>
        </w:rPr>
      </w:pPr>
    </w:p>
    <w:p w14:paraId="448DFD29" w14:textId="77777777" w:rsidR="00A541E7" w:rsidRDefault="00A541E7" w:rsidP="00462F03">
      <w:pPr>
        <w:spacing w:after="0" w:line="240" w:lineRule="auto"/>
        <w:ind w:right="-330"/>
        <w:rPr>
          <w:rFonts w:ascii="Arial" w:eastAsia="Times New Roman" w:hAnsi="Arial" w:cs="Arial"/>
          <w:b/>
          <w:bCs/>
          <w:sz w:val="24"/>
          <w:szCs w:val="24"/>
          <w:lang w:eastAsia="en-GB"/>
        </w:rPr>
      </w:pPr>
    </w:p>
    <w:p w14:paraId="7630E5ED" w14:textId="0E27D859" w:rsidR="00C4602A" w:rsidRPr="00173F07" w:rsidRDefault="00462F03" w:rsidP="00462F03">
      <w:pPr>
        <w:spacing w:after="0" w:line="240" w:lineRule="auto"/>
        <w:ind w:right="-330"/>
        <w:rPr>
          <w:rFonts w:ascii="Arial" w:eastAsia="Times New Roman" w:hAnsi="Arial" w:cs="Arial"/>
          <w:b/>
          <w:bCs/>
          <w:color w:val="FF0000"/>
          <w:sz w:val="36"/>
          <w:szCs w:val="36"/>
          <w:lang w:eastAsia="en-GB"/>
        </w:rPr>
      </w:pPr>
      <w:r>
        <w:rPr>
          <w:rFonts w:ascii="Arial" w:eastAsia="Times New Roman" w:hAnsi="Arial" w:cs="Arial"/>
          <w:b/>
          <w:bCs/>
          <w:sz w:val="24"/>
          <w:szCs w:val="24"/>
          <w:lang w:eastAsia="en-GB"/>
        </w:rPr>
        <w:t xml:space="preserve">WRES </w:t>
      </w:r>
      <w:r w:rsidR="008D1050">
        <w:rPr>
          <w:rFonts w:ascii="Arial" w:eastAsia="Times New Roman" w:hAnsi="Arial" w:cs="Arial"/>
          <w:b/>
          <w:bCs/>
          <w:sz w:val="24"/>
          <w:szCs w:val="24"/>
          <w:lang w:eastAsia="en-GB"/>
        </w:rPr>
        <w:t>R</w:t>
      </w:r>
      <w:r>
        <w:rPr>
          <w:rFonts w:ascii="Arial" w:eastAsia="Times New Roman" w:hAnsi="Arial" w:cs="Arial"/>
          <w:b/>
          <w:bCs/>
          <w:sz w:val="24"/>
          <w:szCs w:val="24"/>
          <w:lang w:eastAsia="en-GB"/>
        </w:rPr>
        <w:t>eport</w:t>
      </w:r>
      <w:r w:rsidR="004959E8">
        <w:rPr>
          <w:rFonts w:ascii="Arial" w:eastAsia="Times New Roman" w:hAnsi="Arial" w:cs="Arial"/>
          <w:b/>
          <w:bCs/>
          <w:sz w:val="24"/>
          <w:szCs w:val="24"/>
          <w:lang w:eastAsia="en-GB"/>
        </w:rPr>
        <w:t>:</w:t>
      </w:r>
      <w:r w:rsidR="001135D0">
        <w:rPr>
          <w:rFonts w:ascii="Arial" w:eastAsia="Times New Roman" w:hAnsi="Arial" w:cs="Arial"/>
          <w:b/>
          <w:bCs/>
          <w:sz w:val="24"/>
          <w:szCs w:val="24"/>
          <w:lang w:eastAsia="en-GB"/>
        </w:rPr>
        <w:t xml:space="preserve"> </w:t>
      </w:r>
      <w:r w:rsidR="007B4123">
        <w:rPr>
          <w:rFonts w:ascii="Arial" w:eastAsia="Times New Roman" w:hAnsi="Arial" w:cs="Arial"/>
          <w:b/>
          <w:bCs/>
          <w:sz w:val="24"/>
          <w:szCs w:val="24"/>
          <w:lang w:eastAsia="en-GB"/>
        </w:rPr>
        <w:t>Final Approved 14/12/2023</w:t>
      </w:r>
    </w:p>
    <w:p w14:paraId="6D6C57D2" w14:textId="77777777" w:rsidR="00C4602A" w:rsidRDefault="00C4602A" w:rsidP="006C73F3">
      <w:pPr>
        <w:spacing w:after="0" w:line="240" w:lineRule="auto"/>
        <w:ind w:left="7581" w:right="-330"/>
        <w:rPr>
          <w:rFonts w:ascii="Arial" w:eastAsia="Times New Roman" w:hAnsi="Arial" w:cs="Arial"/>
          <w:b/>
          <w:bCs/>
          <w:sz w:val="24"/>
          <w:szCs w:val="24"/>
          <w:lang w:eastAsia="en-GB"/>
        </w:rPr>
      </w:pPr>
    </w:p>
    <w:p w14:paraId="624047A8" w14:textId="77777777" w:rsidR="00C4602A" w:rsidRDefault="00C4602A" w:rsidP="006C73F3">
      <w:pPr>
        <w:spacing w:after="0" w:line="240" w:lineRule="auto"/>
        <w:ind w:left="7581" w:right="-330"/>
        <w:rPr>
          <w:rFonts w:ascii="Arial" w:eastAsia="Times New Roman" w:hAnsi="Arial" w:cs="Arial"/>
          <w:b/>
          <w:bCs/>
          <w:sz w:val="24"/>
          <w:szCs w:val="24"/>
          <w:lang w:eastAsia="en-GB"/>
        </w:rPr>
      </w:pPr>
    </w:p>
    <w:p w14:paraId="7B22220A" w14:textId="77777777" w:rsidR="00C4602A" w:rsidRDefault="00C4602A" w:rsidP="006C73F3">
      <w:pPr>
        <w:spacing w:after="0" w:line="240" w:lineRule="auto"/>
        <w:ind w:left="7581" w:right="-330"/>
        <w:rPr>
          <w:rFonts w:ascii="Arial" w:eastAsia="Times New Roman" w:hAnsi="Arial" w:cs="Arial"/>
          <w:b/>
          <w:bCs/>
          <w:sz w:val="24"/>
          <w:szCs w:val="24"/>
          <w:lang w:eastAsia="en-GB"/>
        </w:rPr>
      </w:pPr>
    </w:p>
    <w:p w14:paraId="515BC965"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387CC0D2"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3E167B2F"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019216E0"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58B4FA7D"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3C2338D4"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16580974" w14:textId="77777777" w:rsidR="00F26EBC" w:rsidRDefault="00F26EBC" w:rsidP="006C73F3">
      <w:pPr>
        <w:spacing w:after="0" w:line="240" w:lineRule="auto"/>
        <w:ind w:left="7581" w:right="-330"/>
        <w:rPr>
          <w:rFonts w:ascii="Arial" w:eastAsia="Times New Roman" w:hAnsi="Arial" w:cs="Arial"/>
          <w:b/>
          <w:bCs/>
          <w:sz w:val="24"/>
          <w:szCs w:val="24"/>
          <w:lang w:eastAsia="en-GB"/>
        </w:rPr>
      </w:pPr>
    </w:p>
    <w:p w14:paraId="284CE7D8" w14:textId="1BF69494" w:rsidR="00705C5F" w:rsidRPr="009F2DE9" w:rsidRDefault="00594C61" w:rsidP="006C73F3">
      <w:pPr>
        <w:spacing w:after="0" w:line="240" w:lineRule="auto"/>
        <w:ind w:left="7581" w:right="-330"/>
        <w:rPr>
          <w:rFonts w:ascii="Arial" w:eastAsia="Times New Roman" w:hAnsi="Arial" w:cs="Arial"/>
          <w:b/>
          <w:bCs/>
          <w:sz w:val="24"/>
          <w:szCs w:val="24"/>
          <w:lang w:eastAsia="en-GB"/>
        </w:rPr>
      </w:pPr>
      <w:r>
        <w:rPr>
          <w:rFonts w:ascii="Arial" w:eastAsia="Times New Roman" w:hAnsi="Arial" w:cs="Arial"/>
          <w:b/>
          <w:bCs/>
          <w:sz w:val="24"/>
          <w:szCs w:val="24"/>
          <w:lang w:eastAsia="en-GB"/>
        </w:rPr>
        <w:t>A</w:t>
      </w:r>
      <w:r w:rsidR="00626F15" w:rsidRPr="009F2DE9">
        <w:rPr>
          <w:rFonts w:ascii="Arial" w:eastAsia="Times New Roman" w:hAnsi="Arial" w:cs="Arial"/>
          <w:b/>
          <w:bCs/>
          <w:sz w:val="24"/>
          <w:szCs w:val="24"/>
          <w:lang w:eastAsia="en-GB"/>
        </w:rPr>
        <w:t xml:space="preserve">ppendix </w:t>
      </w:r>
      <w:r w:rsidR="00CF01D8">
        <w:rPr>
          <w:rFonts w:ascii="Arial" w:eastAsia="Times New Roman" w:hAnsi="Arial" w:cs="Arial"/>
          <w:b/>
          <w:bCs/>
          <w:sz w:val="24"/>
          <w:szCs w:val="24"/>
          <w:lang w:eastAsia="en-GB"/>
        </w:rPr>
        <w:t>1</w:t>
      </w:r>
    </w:p>
    <w:p w14:paraId="6FCECF67" w14:textId="77777777" w:rsidR="00705C5F" w:rsidRPr="009F2DE9" w:rsidRDefault="00705C5F" w:rsidP="00626F15">
      <w:pPr>
        <w:spacing w:after="0" w:line="240" w:lineRule="auto"/>
        <w:ind w:left="3261" w:hanging="3261"/>
        <w:rPr>
          <w:rFonts w:ascii="Arial" w:eastAsia="Times New Roman" w:hAnsi="Arial" w:cs="Arial"/>
          <w:b/>
          <w:bCs/>
          <w:sz w:val="24"/>
          <w:szCs w:val="24"/>
          <w:lang w:eastAsia="en-GB"/>
        </w:rPr>
      </w:pPr>
    </w:p>
    <w:p w14:paraId="1BDAFE0E" w14:textId="49538D1D" w:rsidR="00626F15" w:rsidRPr="009F2DE9" w:rsidRDefault="00626F15" w:rsidP="00626F15">
      <w:pPr>
        <w:spacing w:after="0" w:line="240" w:lineRule="auto"/>
        <w:rPr>
          <w:rFonts w:ascii="Arial" w:hAnsi="Arial" w:cs="Arial"/>
          <w:sz w:val="24"/>
          <w:szCs w:val="24"/>
        </w:rPr>
      </w:pPr>
    </w:p>
    <w:p w14:paraId="14C8F6DE" w14:textId="7C9A0099" w:rsidR="008467E8" w:rsidRPr="009F2DE9" w:rsidRDefault="008467E8" w:rsidP="008467E8">
      <w:pPr>
        <w:pStyle w:val="Heading2"/>
        <w:rPr>
          <w:rFonts w:ascii="Arial" w:hAnsi="Arial" w:cs="Arial"/>
          <w:b/>
          <w:bCs/>
          <w:color w:val="auto"/>
          <w:sz w:val="24"/>
          <w:szCs w:val="24"/>
          <w:u w:color="000000"/>
        </w:rPr>
      </w:pPr>
      <w:bookmarkStart w:id="8" w:name="_Toc14812"/>
      <w:r w:rsidRPr="009F2DE9">
        <w:rPr>
          <w:rFonts w:ascii="Arial" w:hAnsi="Arial" w:cs="Arial"/>
          <w:b/>
          <w:bCs/>
          <w:color w:val="auto"/>
          <w:sz w:val="24"/>
          <w:szCs w:val="24"/>
          <w:u w:color="000000"/>
        </w:rPr>
        <w:t xml:space="preserve">The Workforce Race Equality Standard indicators  </w:t>
      </w:r>
      <w:bookmarkEnd w:id="8"/>
    </w:p>
    <w:p w14:paraId="49CA9A9B" w14:textId="77777777" w:rsidR="00154249" w:rsidRPr="009F2DE9" w:rsidRDefault="00154249" w:rsidP="00154249">
      <w:pPr>
        <w:rPr>
          <w:sz w:val="24"/>
          <w:szCs w:val="24"/>
        </w:rPr>
      </w:pPr>
    </w:p>
    <w:tbl>
      <w:tblPr>
        <w:tblStyle w:val="TableGrid0"/>
        <w:tblW w:w="9631" w:type="dxa"/>
        <w:tblInd w:w="-214" w:type="dxa"/>
        <w:tblCellMar>
          <w:top w:w="54" w:type="dxa"/>
          <w:left w:w="108" w:type="dxa"/>
        </w:tblCellMar>
        <w:tblLook w:val="04A0" w:firstRow="1" w:lastRow="0" w:firstColumn="1" w:lastColumn="0" w:noHBand="0" w:noVBand="1"/>
      </w:tblPr>
      <w:tblGrid>
        <w:gridCol w:w="1010"/>
        <w:gridCol w:w="8621"/>
      </w:tblGrid>
      <w:tr w:rsidR="008467E8" w:rsidRPr="009F2DE9" w14:paraId="5C167A68" w14:textId="77777777" w:rsidTr="008467E8">
        <w:trPr>
          <w:trHeight w:val="835"/>
        </w:trPr>
        <w:tc>
          <w:tcPr>
            <w:tcW w:w="1010" w:type="dxa"/>
            <w:tcBorders>
              <w:top w:val="single" w:sz="4" w:space="0" w:color="000000"/>
              <w:left w:val="single" w:sz="4" w:space="0" w:color="000000"/>
              <w:bottom w:val="single" w:sz="4" w:space="0" w:color="000000"/>
              <w:right w:val="single" w:sz="4" w:space="0" w:color="000000"/>
            </w:tcBorders>
            <w:shd w:val="clear" w:color="auto" w:fill="D5DCE4"/>
            <w:hideMark/>
          </w:tcPr>
          <w:p w14:paraId="7CB35047"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 </w:t>
            </w:r>
          </w:p>
        </w:tc>
        <w:tc>
          <w:tcPr>
            <w:tcW w:w="8621" w:type="dxa"/>
            <w:tcBorders>
              <w:top w:val="single" w:sz="4" w:space="0" w:color="000000"/>
              <w:left w:val="single" w:sz="4" w:space="0" w:color="000000"/>
              <w:bottom w:val="single" w:sz="4" w:space="0" w:color="000000"/>
              <w:right w:val="single" w:sz="4" w:space="0" w:color="000000"/>
            </w:tcBorders>
            <w:shd w:val="clear" w:color="auto" w:fill="D5DCE4"/>
            <w:hideMark/>
          </w:tcPr>
          <w:p w14:paraId="061BA563"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Workforce indicators  </w:t>
            </w:r>
          </w:p>
          <w:p w14:paraId="6DA48886"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For each of these four workforce Indicators, </w:t>
            </w:r>
            <w:r w:rsidRPr="009F2DE9">
              <w:rPr>
                <w:rFonts w:ascii="Arial" w:hAnsi="Arial" w:cs="Arial"/>
                <w:sz w:val="24"/>
                <w:szCs w:val="24"/>
                <w:u w:val="single" w:color="000000"/>
              </w:rPr>
              <w:t>compare the data for white and BME</w:t>
            </w:r>
            <w:r w:rsidRPr="009F2DE9">
              <w:rPr>
                <w:rFonts w:ascii="Arial" w:hAnsi="Arial" w:cs="Arial"/>
                <w:sz w:val="24"/>
                <w:szCs w:val="24"/>
              </w:rPr>
              <w:t xml:space="preserve"> </w:t>
            </w:r>
            <w:r w:rsidRPr="009F2DE9">
              <w:rPr>
                <w:rFonts w:ascii="Arial" w:hAnsi="Arial" w:cs="Arial"/>
                <w:sz w:val="24"/>
                <w:szCs w:val="24"/>
                <w:u w:val="single" w:color="000000"/>
              </w:rPr>
              <w:t>staff</w:t>
            </w:r>
            <w:r w:rsidRPr="009F2DE9">
              <w:rPr>
                <w:rFonts w:ascii="Arial" w:hAnsi="Arial" w:cs="Arial"/>
                <w:sz w:val="24"/>
                <w:szCs w:val="24"/>
              </w:rPr>
              <w:t xml:space="preserve"> </w:t>
            </w:r>
          </w:p>
        </w:tc>
      </w:tr>
      <w:tr w:rsidR="008467E8" w:rsidRPr="009F2DE9" w14:paraId="0C45B914" w14:textId="77777777" w:rsidTr="008467E8">
        <w:trPr>
          <w:trHeight w:val="3817"/>
        </w:trPr>
        <w:tc>
          <w:tcPr>
            <w:tcW w:w="1010" w:type="dxa"/>
            <w:tcBorders>
              <w:top w:val="single" w:sz="4" w:space="0" w:color="000000"/>
              <w:left w:val="single" w:sz="4" w:space="0" w:color="000000"/>
              <w:bottom w:val="single" w:sz="4" w:space="0" w:color="000000"/>
              <w:right w:val="single" w:sz="4" w:space="0" w:color="000000"/>
            </w:tcBorders>
            <w:hideMark/>
          </w:tcPr>
          <w:p w14:paraId="6562E030" w14:textId="77777777" w:rsidR="008467E8" w:rsidRPr="009F2DE9" w:rsidRDefault="008467E8">
            <w:pPr>
              <w:spacing w:line="256" w:lineRule="auto"/>
              <w:ind w:right="69"/>
              <w:jc w:val="center"/>
              <w:rPr>
                <w:rFonts w:ascii="Arial" w:hAnsi="Arial" w:cs="Arial"/>
                <w:sz w:val="24"/>
                <w:szCs w:val="24"/>
              </w:rPr>
            </w:pPr>
            <w:r w:rsidRPr="009F2DE9">
              <w:rPr>
                <w:rFonts w:ascii="Arial" w:hAnsi="Arial" w:cs="Arial"/>
                <w:sz w:val="24"/>
                <w:szCs w:val="24"/>
              </w:rPr>
              <w:t xml:space="preserve">1. </w:t>
            </w:r>
          </w:p>
        </w:tc>
        <w:tc>
          <w:tcPr>
            <w:tcW w:w="8621" w:type="dxa"/>
            <w:tcBorders>
              <w:top w:val="single" w:sz="4" w:space="0" w:color="000000"/>
              <w:left w:val="single" w:sz="4" w:space="0" w:color="000000"/>
              <w:bottom w:val="single" w:sz="4" w:space="0" w:color="000000"/>
              <w:right w:val="single" w:sz="4" w:space="0" w:color="000000"/>
            </w:tcBorders>
            <w:hideMark/>
          </w:tcPr>
          <w:p w14:paraId="1D3F8DAC" w14:textId="77777777" w:rsidR="008467E8" w:rsidRPr="009F2DE9" w:rsidRDefault="008467E8">
            <w:pPr>
              <w:spacing w:after="215" w:line="273" w:lineRule="auto"/>
              <w:ind w:right="64"/>
              <w:rPr>
                <w:rFonts w:ascii="Arial" w:hAnsi="Arial" w:cs="Arial"/>
                <w:sz w:val="24"/>
                <w:szCs w:val="24"/>
              </w:rPr>
            </w:pPr>
            <w:r w:rsidRPr="009F2DE9">
              <w:rPr>
                <w:rFonts w:ascii="Arial" w:hAnsi="Arial" w:cs="Arial"/>
                <w:sz w:val="24"/>
                <w:szCs w:val="24"/>
              </w:rPr>
              <w:t xml:space="preserve">Percentage of staff in each of the </w:t>
            </w:r>
            <w:proofErr w:type="spellStart"/>
            <w:r w:rsidRPr="009F2DE9">
              <w:rPr>
                <w:rFonts w:ascii="Arial" w:hAnsi="Arial" w:cs="Arial"/>
                <w:sz w:val="24"/>
                <w:szCs w:val="24"/>
              </w:rPr>
              <w:t>AfC</w:t>
            </w:r>
            <w:proofErr w:type="spellEnd"/>
            <w:r w:rsidRPr="009F2DE9">
              <w:rPr>
                <w:rFonts w:ascii="Arial" w:hAnsi="Arial" w:cs="Arial"/>
                <w:sz w:val="24"/>
                <w:szCs w:val="24"/>
              </w:rPr>
              <w:t xml:space="preserve"> Bands 1-9 or Medical and Dental subgroups and VSM (including executive Board members) compared with the percentage of staff in the overall workforce disaggregated by: </w:t>
            </w:r>
          </w:p>
          <w:p w14:paraId="2A2AB91B" w14:textId="77777777" w:rsidR="008467E8" w:rsidRPr="009F2DE9" w:rsidRDefault="008467E8">
            <w:pPr>
              <w:numPr>
                <w:ilvl w:val="0"/>
                <w:numId w:val="3"/>
              </w:numPr>
              <w:spacing w:after="35" w:line="256" w:lineRule="auto"/>
              <w:ind w:hanging="360"/>
              <w:rPr>
                <w:rFonts w:ascii="Arial" w:hAnsi="Arial" w:cs="Arial"/>
                <w:sz w:val="24"/>
                <w:szCs w:val="24"/>
              </w:rPr>
            </w:pPr>
            <w:r w:rsidRPr="009F2DE9">
              <w:rPr>
                <w:rFonts w:ascii="Arial" w:hAnsi="Arial" w:cs="Arial"/>
                <w:sz w:val="24"/>
                <w:szCs w:val="24"/>
              </w:rPr>
              <w:t xml:space="preserve">Non-Clinical staff </w:t>
            </w:r>
          </w:p>
          <w:p w14:paraId="440C0E6F" w14:textId="77777777" w:rsidR="008467E8" w:rsidRPr="009F2DE9" w:rsidRDefault="008467E8">
            <w:pPr>
              <w:numPr>
                <w:ilvl w:val="0"/>
                <w:numId w:val="3"/>
              </w:numPr>
              <w:spacing w:after="39" w:line="256" w:lineRule="auto"/>
              <w:ind w:hanging="360"/>
              <w:rPr>
                <w:rFonts w:ascii="Arial" w:hAnsi="Arial" w:cs="Arial"/>
                <w:sz w:val="24"/>
                <w:szCs w:val="24"/>
              </w:rPr>
            </w:pPr>
            <w:r w:rsidRPr="009F2DE9">
              <w:rPr>
                <w:rFonts w:ascii="Arial" w:hAnsi="Arial" w:cs="Arial"/>
                <w:sz w:val="24"/>
                <w:szCs w:val="24"/>
              </w:rPr>
              <w:t xml:space="preserve">Clinical staff - of which  </w:t>
            </w:r>
          </w:p>
          <w:p w14:paraId="1D92990F" w14:textId="77777777" w:rsidR="008467E8" w:rsidRPr="009F2DE9" w:rsidRDefault="008467E8">
            <w:pPr>
              <w:numPr>
                <w:ilvl w:val="1"/>
                <w:numId w:val="3"/>
              </w:numPr>
              <w:spacing w:after="45" w:line="256" w:lineRule="auto"/>
              <w:ind w:hanging="361"/>
              <w:rPr>
                <w:rFonts w:ascii="Arial" w:hAnsi="Arial" w:cs="Arial"/>
                <w:sz w:val="24"/>
                <w:szCs w:val="24"/>
              </w:rPr>
            </w:pPr>
            <w:r w:rsidRPr="009F2DE9">
              <w:rPr>
                <w:rFonts w:ascii="Arial" w:hAnsi="Arial" w:cs="Arial"/>
                <w:sz w:val="24"/>
                <w:szCs w:val="24"/>
              </w:rPr>
              <w:t xml:space="preserve">Non-Medical staff  </w:t>
            </w:r>
          </w:p>
          <w:p w14:paraId="1C069B09" w14:textId="77777777" w:rsidR="008467E8" w:rsidRPr="009F2DE9" w:rsidRDefault="008467E8">
            <w:pPr>
              <w:numPr>
                <w:ilvl w:val="1"/>
                <w:numId w:val="3"/>
              </w:numPr>
              <w:spacing w:after="226" w:line="256" w:lineRule="auto"/>
              <w:ind w:hanging="361"/>
              <w:rPr>
                <w:rFonts w:ascii="Arial" w:hAnsi="Arial" w:cs="Arial"/>
                <w:sz w:val="24"/>
                <w:szCs w:val="24"/>
              </w:rPr>
            </w:pPr>
            <w:r w:rsidRPr="009F2DE9">
              <w:rPr>
                <w:rFonts w:ascii="Arial" w:hAnsi="Arial" w:cs="Arial"/>
                <w:sz w:val="24"/>
                <w:szCs w:val="24"/>
              </w:rPr>
              <w:t xml:space="preserve">Medical and Dental staff </w:t>
            </w:r>
          </w:p>
          <w:p w14:paraId="44765FCB" w14:textId="77777777" w:rsidR="008467E8" w:rsidRPr="009F2DE9" w:rsidRDefault="008467E8">
            <w:pPr>
              <w:spacing w:line="256" w:lineRule="auto"/>
              <w:ind w:right="69"/>
              <w:rPr>
                <w:rFonts w:ascii="Arial" w:hAnsi="Arial" w:cs="Arial"/>
                <w:sz w:val="24"/>
                <w:szCs w:val="24"/>
              </w:rPr>
            </w:pPr>
            <w:r w:rsidRPr="009F2DE9">
              <w:rPr>
                <w:rFonts w:ascii="Arial" w:hAnsi="Arial" w:cs="Arial"/>
                <w:sz w:val="24"/>
                <w:szCs w:val="24"/>
              </w:rPr>
              <w:t xml:space="preserve">Note: Definitions for these categories are based on Electronic Staff Record occupation codes </w:t>
            </w:r>
            <w:proofErr w:type="gramStart"/>
            <w:r w:rsidRPr="009F2DE9">
              <w:rPr>
                <w:rFonts w:ascii="Arial" w:hAnsi="Arial" w:cs="Arial"/>
                <w:sz w:val="24"/>
                <w:szCs w:val="24"/>
              </w:rPr>
              <w:t>with the exception of</w:t>
            </w:r>
            <w:proofErr w:type="gramEnd"/>
            <w:r w:rsidRPr="009F2DE9">
              <w:rPr>
                <w:rFonts w:ascii="Arial" w:hAnsi="Arial" w:cs="Arial"/>
                <w:sz w:val="24"/>
                <w:szCs w:val="24"/>
              </w:rPr>
              <w:t xml:space="preserve"> Medical and Dental staff, which are based upon grade codes. </w:t>
            </w:r>
          </w:p>
        </w:tc>
      </w:tr>
      <w:tr w:rsidR="008467E8" w:rsidRPr="009F2DE9" w14:paraId="5A88B63D" w14:textId="77777777" w:rsidTr="008467E8">
        <w:trPr>
          <w:trHeight w:val="1562"/>
        </w:trPr>
        <w:tc>
          <w:tcPr>
            <w:tcW w:w="1010" w:type="dxa"/>
            <w:tcBorders>
              <w:top w:val="single" w:sz="4" w:space="0" w:color="000000"/>
              <w:left w:val="single" w:sz="4" w:space="0" w:color="000000"/>
              <w:bottom w:val="single" w:sz="4" w:space="0" w:color="000000"/>
              <w:right w:val="single" w:sz="4" w:space="0" w:color="000000"/>
            </w:tcBorders>
            <w:hideMark/>
          </w:tcPr>
          <w:p w14:paraId="69D9EEEF" w14:textId="77777777" w:rsidR="008467E8" w:rsidRPr="009F2DE9" w:rsidRDefault="008467E8">
            <w:pPr>
              <w:spacing w:line="256" w:lineRule="auto"/>
              <w:ind w:right="69"/>
              <w:jc w:val="center"/>
              <w:rPr>
                <w:rFonts w:ascii="Arial" w:hAnsi="Arial" w:cs="Arial"/>
                <w:sz w:val="24"/>
                <w:szCs w:val="24"/>
              </w:rPr>
            </w:pPr>
            <w:r w:rsidRPr="009F2DE9">
              <w:rPr>
                <w:rFonts w:ascii="Arial" w:hAnsi="Arial" w:cs="Arial"/>
                <w:sz w:val="24"/>
                <w:szCs w:val="24"/>
              </w:rPr>
              <w:t xml:space="preserve">2. </w:t>
            </w:r>
          </w:p>
        </w:tc>
        <w:tc>
          <w:tcPr>
            <w:tcW w:w="8621" w:type="dxa"/>
            <w:tcBorders>
              <w:top w:val="single" w:sz="4" w:space="0" w:color="000000"/>
              <w:left w:val="single" w:sz="4" w:space="0" w:color="000000"/>
              <w:bottom w:val="single" w:sz="4" w:space="0" w:color="000000"/>
              <w:right w:val="single" w:sz="4" w:space="0" w:color="000000"/>
            </w:tcBorders>
            <w:hideMark/>
          </w:tcPr>
          <w:p w14:paraId="68B02947" w14:textId="77777777" w:rsidR="008467E8" w:rsidRPr="009F2DE9" w:rsidRDefault="008467E8">
            <w:pPr>
              <w:spacing w:after="218" w:line="256" w:lineRule="auto"/>
              <w:rPr>
                <w:rFonts w:ascii="Arial" w:hAnsi="Arial" w:cs="Arial"/>
                <w:sz w:val="24"/>
                <w:szCs w:val="24"/>
              </w:rPr>
            </w:pPr>
            <w:r w:rsidRPr="009F2DE9">
              <w:rPr>
                <w:rFonts w:ascii="Arial" w:hAnsi="Arial" w:cs="Arial"/>
                <w:sz w:val="24"/>
                <w:szCs w:val="24"/>
              </w:rPr>
              <w:t xml:space="preserve">Relative likelihood of staff being appointed from shortlisting across all posts.  </w:t>
            </w:r>
          </w:p>
          <w:p w14:paraId="492C7C8F" w14:textId="77777777" w:rsidR="008467E8" w:rsidRPr="009F2DE9" w:rsidRDefault="008467E8">
            <w:pPr>
              <w:spacing w:after="216" w:line="256" w:lineRule="auto"/>
              <w:rPr>
                <w:rFonts w:ascii="Arial" w:hAnsi="Arial" w:cs="Arial"/>
                <w:sz w:val="24"/>
                <w:szCs w:val="24"/>
              </w:rPr>
            </w:pPr>
            <w:r w:rsidRPr="009F2DE9">
              <w:rPr>
                <w:rFonts w:ascii="Arial" w:hAnsi="Arial" w:cs="Arial"/>
                <w:sz w:val="24"/>
                <w:szCs w:val="24"/>
              </w:rPr>
              <w:t xml:space="preserve">Note: This refers to both external and internal posts </w:t>
            </w:r>
          </w:p>
          <w:p w14:paraId="4AB345C7"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Data should be taken at year end. </w:t>
            </w:r>
          </w:p>
        </w:tc>
      </w:tr>
      <w:tr w:rsidR="008467E8" w:rsidRPr="009F2DE9" w14:paraId="4333FA17" w14:textId="77777777" w:rsidTr="008467E8">
        <w:trPr>
          <w:trHeight w:val="1450"/>
        </w:trPr>
        <w:tc>
          <w:tcPr>
            <w:tcW w:w="1010" w:type="dxa"/>
            <w:tcBorders>
              <w:top w:val="single" w:sz="4" w:space="0" w:color="000000"/>
              <w:left w:val="single" w:sz="4" w:space="0" w:color="000000"/>
              <w:bottom w:val="single" w:sz="4" w:space="0" w:color="000000"/>
              <w:right w:val="single" w:sz="4" w:space="0" w:color="000000"/>
            </w:tcBorders>
            <w:hideMark/>
          </w:tcPr>
          <w:p w14:paraId="49C41EEC" w14:textId="77777777" w:rsidR="008467E8" w:rsidRPr="009F2DE9" w:rsidRDefault="008467E8">
            <w:pPr>
              <w:spacing w:line="256" w:lineRule="auto"/>
              <w:ind w:right="69"/>
              <w:jc w:val="center"/>
              <w:rPr>
                <w:rFonts w:ascii="Arial" w:hAnsi="Arial" w:cs="Arial"/>
                <w:sz w:val="24"/>
                <w:szCs w:val="24"/>
              </w:rPr>
            </w:pPr>
            <w:r w:rsidRPr="009F2DE9">
              <w:rPr>
                <w:rFonts w:ascii="Arial" w:hAnsi="Arial" w:cs="Arial"/>
                <w:sz w:val="24"/>
                <w:szCs w:val="24"/>
              </w:rPr>
              <w:t xml:space="preserve">3. </w:t>
            </w:r>
          </w:p>
        </w:tc>
        <w:tc>
          <w:tcPr>
            <w:tcW w:w="8621" w:type="dxa"/>
            <w:tcBorders>
              <w:top w:val="single" w:sz="4" w:space="0" w:color="000000"/>
              <w:left w:val="single" w:sz="4" w:space="0" w:color="000000"/>
              <w:bottom w:val="single" w:sz="4" w:space="0" w:color="000000"/>
              <w:right w:val="single" w:sz="4" w:space="0" w:color="000000"/>
            </w:tcBorders>
            <w:hideMark/>
          </w:tcPr>
          <w:p w14:paraId="03E318A2" w14:textId="77777777" w:rsidR="008467E8" w:rsidRPr="009F2DE9" w:rsidRDefault="008467E8">
            <w:pPr>
              <w:spacing w:line="237" w:lineRule="auto"/>
              <w:rPr>
                <w:rFonts w:ascii="Arial" w:hAnsi="Arial" w:cs="Arial"/>
                <w:sz w:val="24"/>
                <w:szCs w:val="24"/>
              </w:rPr>
            </w:pPr>
            <w:r w:rsidRPr="009F2DE9">
              <w:rPr>
                <w:rFonts w:ascii="Arial" w:hAnsi="Arial" w:cs="Arial"/>
                <w:sz w:val="24"/>
                <w:szCs w:val="24"/>
              </w:rPr>
              <w:t xml:space="preserve">Relative likelihood of staff entering the formal disciplinary process, as measured by entry into a formal disciplinary investigation. </w:t>
            </w:r>
          </w:p>
          <w:p w14:paraId="3A34AA9C"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 </w:t>
            </w:r>
          </w:p>
          <w:p w14:paraId="1181FF83"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Note: Data should be taken at year end. </w:t>
            </w:r>
          </w:p>
        </w:tc>
      </w:tr>
      <w:tr w:rsidR="008467E8" w:rsidRPr="009F2DE9" w14:paraId="4DFC3E38" w14:textId="77777777" w:rsidTr="008467E8">
        <w:trPr>
          <w:trHeight w:val="841"/>
        </w:trPr>
        <w:tc>
          <w:tcPr>
            <w:tcW w:w="1010" w:type="dxa"/>
            <w:tcBorders>
              <w:top w:val="single" w:sz="4" w:space="0" w:color="000000"/>
              <w:left w:val="single" w:sz="4" w:space="0" w:color="000000"/>
              <w:bottom w:val="single" w:sz="4" w:space="0" w:color="000000"/>
              <w:right w:val="single" w:sz="4" w:space="0" w:color="000000"/>
            </w:tcBorders>
            <w:hideMark/>
          </w:tcPr>
          <w:p w14:paraId="3C0E125B" w14:textId="77777777" w:rsidR="008467E8" w:rsidRPr="009F2DE9" w:rsidRDefault="008467E8">
            <w:pPr>
              <w:spacing w:line="256" w:lineRule="auto"/>
              <w:ind w:right="69"/>
              <w:jc w:val="center"/>
              <w:rPr>
                <w:rFonts w:ascii="Arial" w:hAnsi="Arial" w:cs="Arial"/>
                <w:sz w:val="24"/>
                <w:szCs w:val="24"/>
              </w:rPr>
            </w:pPr>
            <w:r w:rsidRPr="009F2DE9">
              <w:rPr>
                <w:rFonts w:ascii="Arial" w:hAnsi="Arial" w:cs="Arial"/>
                <w:sz w:val="24"/>
                <w:szCs w:val="24"/>
              </w:rPr>
              <w:t xml:space="preserve">4. </w:t>
            </w:r>
          </w:p>
        </w:tc>
        <w:tc>
          <w:tcPr>
            <w:tcW w:w="8621" w:type="dxa"/>
            <w:tcBorders>
              <w:top w:val="single" w:sz="4" w:space="0" w:color="000000"/>
              <w:left w:val="single" w:sz="4" w:space="0" w:color="000000"/>
              <w:bottom w:val="single" w:sz="4" w:space="0" w:color="000000"/>
              <w:right w:val="single" w:sz="4" w:space="0" w:color="000000"/>
            </w:tcBorders>
            <w:hideMark/>
          </w:tcPr>
          <w:p w14:paraId="02E30A46"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Relative likelihood of staff accessing non-mandatory training and CPD </w:t>
            </w:r>
          </w:p>
          <w:p w14:paraId="5B0DD168"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 </w:t>
            </w:r>
          </w:p>
          <w:p w14:paraId="3C27628B"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 </w:t>
            </w:r>
          </w:p>
        </w:tc>
      </w:tr>
      <w:tr w:rsidR="008467E8" w:rsidRPr="009F2DE9" w14:paraId="13546419" w14:textId="77777777" w:rsidTr="008467E8">
        <w:trPr>
          <w:trHeight w:val="905"/>
        </w:trPr>
        <w:tc>
          <w:tcPr>
            <w:tcW w:w="1010" w:type="dxa"/>
            <w:tcBorders>
              <w:top w:val="single" w:sz="4" w:space="0" w:color="000000"/>
              <w:left w:val="single" w:sz="4" w:space="0" w:color="000000"/>
              <w:bottom w:val="single" w:sz="4" w:space="0" w:color="000000"/>
              <w:right w:val="single" w:sz="4" w:space="0" w:color="000000"/>
            </w:tcBorders>
            <w:shd w:val="clear" w:color="auto" w:fill="D5DCE4"/>
            <w:hideMark/>
          </w:tcPr>
          <w:p w14:paraId="60EBCE5F" w14:textId="77777777" w:rsidR="008467E8" w:rsidRPr="009F2DE9" w:rsidRDefault="008467E8">
            <w:pPr>
              <w:spacing w:line="256" w:lineRule="auto"/>
              <w:ind w:right="1"/>
              <w:jc w:val="center"/>
              <w:rPr>
                <w:rFonts w:ascii="Arial" w:hAnsi="Arial" w:cs="Arial"/>
                <w:sz w:val="24"/>
                <w:szCs w:val="24"/>
              </w:rPr>
            </w:pPr>
            <w:r w:rsidRPr="009F2DE9">
              <w:rPr>
                <w:rFonts w:ascii="Arial" w:hAnsi="Arial" w:cs="Arial"/>
                <w:sz w:val="24"/>
                <w:szCs w:val="24"/>
              </w:rPr>
              <w:t xml:space="preserve"> </w:t>
            </w:r>
          </w:p>
        </w:tc>
        <w:tc>
          <w:tcPr>
            <w:tcW w:w="8621" w:type="dxa"/>
            <w:tcBorders>
              <w:top w:val="single" w:sz="4" w:space="0" w:color="000000"/>
              <w:left w:val="single" w:sz="4" w:space="0" w:color="000000"/>
              <w:bottom w:val="single" w:sz="4" w:space="0" w:color="000000"/>
              <w:right w:val="single" w:sz="4" w:space="0" w:color="000000"/>
            </w:tcBorders>
            <w:shd w:val="clear" w:color="auto" w:fill="D5DCE4"/>
            <w:hideMark/>
          </w:tcPr>
          <w:p w14:paraId="5158FF28"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National NHS Staff Survey indicators (or equivalent) </w:t>
            </w:r>
          </w:p>
          <w:p w14:paraId="5E4189E8"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For each of the four staff survey indicators, </w:t>
            </w:r>
            <w:r w:rsidRPr="009F2DE9">
              <w:rPr>
                <w:rFonts w:ascii="Arial" w:hAnsi="Arial" w:cs="Arial"/>
                <w:sz w:val="24"/>
                <w:szCs w:val="24"/>
                <w:u w:val="single" w:color="000000"/>
              </w:rPr>
              <w:t>compare the outcomes of the</w:t>
            </w:r>
            <w:r w:rsidRPr="009F2DE9">
              <w:rPr>
                <w:rFonts w:ascii="Arial" w:hAnsi="Arial" w:cs="Arial"/>
                <w:sz w:val="24"/>
                <w:szCs w:val="24"/>
              </w:rPr>
              <w:t xml:space="preserve"> </w:t>
            </w:r>
            <w:r w:rsidRPr="009F2DE9">
              <w:rPr>
                <w:rFonts w:ascii="Arial" w:hAnsi="Arial" w:cs="Arial"/>
                <w:sz w:val="24"/>
                <w:szCs w:val="24"/>
                <w:u w:val="single" w:color="000000"/>
              </w:rPr>
              <w:t>responses for white and BME staff</w:t>
            </w:r>
            <w:r w:rsidRPr="009F2DE9">
              <w:rPr>
                <w:rFonts w:ascii="Arial" w:hAnsi="Arial" w:cs="Arial"/>
                <w:sz w:val="24"/>
                <w:szCs w:val="24"/>
              </w:rPr>
              <w:t xml:space="preserve">  </w:t>
            </w:r>
          </w:p>
        </w:tc>
      </w:tr>
      <w:tr w:rsidR="008467E8" w:rsidRPr="009F2DE9" w14:paraId="0DA5A3E2" w14:textId="77777777" w:rsidTr="008467E8">
        <w:trPr>
          <w:trHeight w:val="838"/>
        </w:trPr>
        <w:tc>
          <w:tcPr>
            <w:tcW w:w="1010" w:type="dxa"/>
            <w:tcBorders>
              <w:top w:val="single" w:sz="4" w:space="0" w:color="000000"/>
              <w:left w:val="single" w:sz="4" w:space="0" w:color="000000"/>
              <w:bottom w:val="single" w:sz="4" w:space="0" w:color="000000"/>
              <w:right w:val="single" w:sz="4" w:space="0" w:color="000000"/>
            </w:tcBorders>
            <w:hideMark/>
          </w:tcPr>
          <w:p w14:paraId="2790CC41" w14:textId="77777777" w:rsidR="008467E8" w:rsidRPr="009F2DE9" w:rsidRDefault="008467E8">
            <w:pPr>
              <w:spacing w:line="256" w:lineRule="auto"/>
              <w:ind w:right="107"/>
              <w:jc w:val="center"/>
              <w:rPr>
                <w:rFonts w:ascii="Arial" w:hAnsi="Arial" w:cs="Arial"/>
                <w:sz w:val="24"/>
                <w:szCs w:val="24"/>
              </w:rPr>
            </w:pPr>
            <w:r w:rsidRPr="009F2DE9">
              <w:rPr>
                <w:rFonts w:ascii="Arial" w:hAnsi="Arial" w:cs="Arial"/>
                <w:sz w:val="24"/>
                <w:szCs w:val="24"/>
              </w:rPr>
              <w:t xml:space="preserve">5. </w:t>
            </w:r>
          </w:p>
        </w:tc>
        <w:tc>
          <w:tcPr>
            <w:tcW w:w="8621" w:type="dxa"/>
            <w:tcBorders>
              <w:top w:val="single" w:sz="4" w:space="0" w:color="000000"/>
              <w:left w:val="single" w:sz="4" w:space="0" w:color="000000"/>
              <w:bottom w:val="single" w:sz="4" w:space="0" w:color="000000"/>
              <w:right w:val="single" w:sz="4" w:space="0" w:color="000000"/>
            </w:tcBorders>
            <w:hideMark/>
          </w:tcPr>
          <w:p w14:paraId="78F8A3CA" w14:textId="77777777" w:rsidR="008467E8" w:rsidRPr="009F2DE9" w:rsidRDefault="008467E8">
            <w:pPr>
              <w:spacing w:line="237" w:lineRule="auto"/>
              <w:rPr>
                <w:rFonts w:ascii="Arial" w:hAnsi="Arial" w:cs="Arial"/>
                <w:sz w:val="24"/>
                <w:szCs w:val="24"/>
              </w:rPr>
            </w:pPr>
            <w:r w:rsidRPr="009F2DE9">
              <w:rPr>
                <w:rFonts w:ascii="Arial" w:hAnsi="Arial" w:cs="Arial"/>
                <w:sz w:val="24"/>
                <w:szCs w:val="24"/>
              </w:rPr>
              <w:t xml:space="preserve">Percentage of staff experiencing harassment, bullying or abuse from patients, </w:t>
            </w:r>
            <w:proofErr w:type="gramStart"/>
            <w:r w:rsidRPr="009F2DE9">
              <w:rPr>
                <w:rFonts w:ascii="Arial" w:hAnsi="Arial" w:cs="Arial"/>
                <w:sz w:val="24"/>
                <w:szCs w:val="24"/>
              </w:rPr>
              <w:t>relatives</w:t>
            </w:r>
            <w:proofErr w:type="gramEnd"/>
            <w:r w:rsidRPr="009F2DE9">
              <w:rPr>
                <w:rFonts w:ascii="Arial" w:hAnsi="Arial" w:cs="Arial"/>
                <w:sz w:val="24"/>
                <w:szCs w:val="24"/>
              </w:rPr>
              <w:t xml:space="preserve"> or the public in last 12 months   </w:t>
            </w:r>
          </w:p>
          <w:p w14:paraId="75B075D7"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 </w:t>
            </w:r>
          </w:p>
        </w:tc>
      </w:tr>
      <w:tr w:rsidR="008467E8" w:rsidRPr="009F2DE9" w14:paraId="472B15DD" w14:textId="77777777" w:rsidTr="008467E8">
        <w:trPr>
          <w:trHeight w:val="845"/>
        </w:trPr>
        <w:tc>
          <w:tcPr>
            <w:tcW w:w="1010" w:type="dxa"/>
            <w:tcBorders>
              <w:top w:val="single" w:sz="4" w:space="0" w:color="000000"/>
              <w:left w:val="single" w:sz="4" w:space="0" w:color="000000"/>
              <w:bottom w:val="single" w:sz="4" w:space="0" w:color="000000"/>
              <w:right w:val="single" w:sz="4" w:space="0" w:color="000000"/>
            </w:tcBorders>
            <w:hideMark/>
          </w:tcPr>
          <w:p w14:paraId="268CC26F" w14:textId="77777777" w:rsidR="008467E8" w:rsidRPr="009F2DE9" w:rsidRDefault="008467E8">
            <w:pPr>
              <w:spacing w:line="256" w:lineRule="auto"/>
              <w:ind w:right="107"/>
              <w:jc w:val="center"/>
              <w:rPr>
                <w:rFonts w:ascii="Arial" w:hAnsi="Arial" w:cs="Arial"/>
                <w:sz w:val="24"/>
                <w:szCs w:val="24"/>
              </w:rPr>
            </w:pPr>
            <w:r w:rsidRPr="009F2DE9">
              <w:rPr>
                <w:rFonts w:ascii="Arial" w:hAnsi="Arial" w:cs="Arial"/>
                <w:sz w:val="24"/>
                <w:szCs w:val="24"/>
              </w:rPr>
              <w:lastRenderedPageBreak/>
              <w:t xml:space="preserve">6. </w:t>
            </w:r>
          </w:p>
        </w:tc>
        <w:tc>
          <w:tcPr>
            <w:tcW w:w="8621" w:type="dxa"/>
            <w:tcBorders>
              <w:top w:val="single" w:sz="4" w:space="0" w:color="000000"/>
              <w:left w:val="single" w:sz="4" w:space="0" w:color="000000"/>
              <w:bottom w:val="single" w:sz="4" w:space="0" w:color="000000"/>
              <w:right w:val="single" w:sz="4" w:space="0" w:color="000000"/>
            </w:tcBorders>
            <w:hideMark/>
          </w:tcPr>
          <w:p w14:paraId="010BF20C" w14:textId="77777777" w:rsidR="008467E8" w:rsidRPr="009F2DE9" w:rsidRDefault="008467E8">
            <w:pPr>
              <w:spacing w:after="16" w:line="256" w:lineRule="auto"/>
              <w:rPr>
                <w:rFonts w:ascii="Arial" w:hAnsi="Arial" w:cs="Arial"/>
                <w:sz w:val="24"/>
                <w:szCs w:val="24"/>
              </w:rPr>
            </w:pPr>
            <w:r w:rsidRPr="009F2DE9">
              <w:rPr>
                <w:rFonts w:ascii="Arial" w:hAnsi="Arial" w:cs="Arial"/>
                <w:sz w:val="24"/>
                <w:szCs w:val="24"/>
              </w:rPr>
              <w:t xml:space="preserve">Percentage of staff experiencing harassment, bullying or abuse from staff in last </w:t>
            </w:r>
          </w:p>
          <w:p w14:paraId="4251620B"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12 months   </w:t>
            </w:r>
          </w:p>
        </w:tc>
      </w:tr>
      <w:tr w:rsidR="008467E8" w:rsidRPr="009F2DE9" w14:paraId="60F8D8E0" w14:textId="77777777" w:rsidTr="008467E8">
        <w:trPr>
          <w:trHeight w:val="845"/>
        </w:trPr>
        <w:tc>
          <w:tcPr>
            <w:tcW w:w="1010" w:type="dxa"/>
            <w:tcBorders>
              <w:top w:val="single" w:sz="4" w:space="0" w:color="000000"/>
              <w:left w:val="single" w:sz="4" w:space="0" w:color="000000"/>
              <w:bottom w:val="single" w:sz="4" w:space="0" w:color="000000"/>
              <w:right w:val="single" w:sz="4" w:space="0" w:color="000000"/>
            </w:tcBorders>
            <w:hideMark/>
          </w:tcPr>
          <w:p w14:paraId="5AF2AABB" w14:textId="77777777" w:rsidR="008467E8" w:rsidRPr="009F2DE9" w:rsidRDefault="008467E8">
            <w:pPr>
              <w:spacing w:line="256" w:lineRule="auto"/>
              <w:ind w:right="107"/>
              <w:jc w:val="center"/>
              <w:rPr>
                <w:rFonts w:ascii="Arial" w:hAnsi="Arial" w:cs="Arial"/>
                <w:sz w:val="24"/>
                <w:szCs w:val="24"/>
              </w:rPr>
            </w:pPr>
            <w:r w:rsidRPr="009F2DE9">
              <w:rPr>
                <w:rFonts w:ascii="Arial" w:hAnsi="Arial" w:cs="Arial"/>
                <w:sz w:val="24"/>
                <w:szCs w:val="24"/>
              </w:rPr>
              <w:t xml:space="preserve">7. </w:t>
            </w:r>
          </w:p>
        </w:tc>
        <w:tc>
          <w:tcPr>
            <w:tcW w:w="8621" w:type="dxa"/>
            <w:tcBorders>
              <w:top w:val="single" w:sz="4" w:space="0" w:color="000000"/>
              <w:left w:val="single" w:sz="4" w:space="0" w:color="000000"/>
              <w:bottom w:val="single" w:sz="4" w:space="0" w:color="000000"/>
              <w:right w:val="single" w:sz="4" w:space="0" w:color="000000"/>
            </w:tcBorders>
            <w:hideMark/>
          </w:tcPr>
          <w:p w14:paraId="2A8CB3E8" w14:textId="77777777" w:rsidR="008467E8" w:rsidRPr="009F2DE9" w:rsidRDefault="008467E8">
            <w:pPr>
              <w:spacing w:after="16" w:line="256" w:lineRule="auto"/>
              <w:rPr>
                <w:rFonts w:ascii="Arial" w:hAnsi="Arial" w:cs="Arial"/>
                <w:sz w:val="24"/>
                <w:szCs w:val="24"/>
              </w:rPr>
            </w:pPr>
            <w:r w:rsidRPr="009F2DE9">
              <w:rPr>
                <w:rFonts w:ascii="Arial" w:hAnsi="Arial" w:cs="Arial"/>
                <w:sz w:val="24"/>
                <w:szCs w:val="24"/>
              </w:rPr>
              <w:t xml:space="preserve">Percentage of staff believing that the trust provides equal opportunities for </w:t>
            </w:r>
          </w:p>
          <w:p w14:paraId="72DE9B4D"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career progression or promotion                                                                             </w:t>
            </w:r>
          </w:p>
        </w:tc>
      </w:tr>
      <w:tr w:rsidR="008467E8" w:rsidRPr="009F2DE9" w14:paraId="51D7DB68" w14:textId="77777777" w:rsidTr="008467E8">
        <w:trPr>
          <w:trHeight w:val="1115"/>
        </w:trPr>
        <w:tc>
          <w:tcPr>
            <w:tcW w:w="1010" w:type="dxa"/>
            <w:tcBorders>
              <w:top w:val="single" w:sz="4" w:space="0" w:color="000000"/>
              <w:left w:val="single" w:sz="4" w:space="0" w:color="000000"/>
              <w:bottom w:val="single" w:sz="4" w:space="0" w:color="000000"/>
              <w:right w:val="single" w:sz="4" w:space="0" w:color="000000"/>
            </w:tcBorders>
            <w:hideMark/>
          </w:tcPr>
          <w:p w14:paraId="45A4E59D" w14:textId="77777777" w:rsidR="008467E8" w:rsidRPr="009F2DE9" w:rsidRDefault="008467E8">
            <w:pPr>
              <w:spacing w:line="256" w:lineRule="auto"/>
              <w:ind w:right="107"/>
              <w:jc w:val="center"/>
              <w:rPr>
                <w:rFonts w:ascii="Arial" w:hAnsi="Arial" w:cs="Arial"/>
                <w:sz w:val="24"/>
                <w:szCs w:val="24"/>
              </w:rPr>
            </w:pPr>
            <w:r w:rsidRPr="009F2DE9">
              <w:rPr>
                <w:rFonts w:ascii="Arial" w:hAnsi="Arial" w:cs="Arial"/>
                <w:sz w:val="24"/>
                <w:szCs w:val="24"/>
              </w:rPr>
              <w:t xml:space="preserve">8. </w:t>
            </w:r>
          </w:p>
        </w:tc>
        <w:tc>
          <w:tcPr>
            <w:tcW w:w="8621" w:type="dxa"/>
            <w:tcBorders>
              <w:top w:val="single" w:sz="4" w:space="0" w:color="000000"/>
              <w:left w:val="single" w:sz="4" w:space="0" w:color="000000"/>
              <w:bottom w:val="single" w:sz="4" w:space="0" w:color="000000"/>
              <w:right w:val="single" w:sz="4" w:space="0" w:color="000000"/>
            </w:tcBorders>
            <w:hideMark/>
          </w:tcPr>
          <w:p w14:paraId="62098283" w14:textId="77777777" w:rsidR="008467E8" w:rsidRPr="009F2DE9" w:rsidRDefault="008467E8">
            <w:pPr>
              <w:spacing w:line="237" w:lineRule="auto"/>
              <w:rPr>
                <w:rFonts w:ascii="Arial" w:hAnsi="Arial" w:cs="Arial"/>
                <w:sz w:val="24"/>
                <w:szCs w:val="24"/>
              </w:rPr>
            </w:pPr>
            <w:r w:rsidRPr="009F2DE9">
              <w:rPr>
                <w:rFonts w:ascii="Arial" w:hAnsi="Arial" w:cs="Arial"/>
                <w:sz w:val="24"/>
                <w:szCs w:val="24"/>
              </w:rPr>
              <w:t xml:space="preserve">In the last 12 months have you personally experienced discrimination at work from any of the following? </w:t>
            </w:r>
          </w:p>
          <w:p w14:paraId="21E0CA90"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b) Manager/team leader or other colleagues </w:t>
            </w:r>
          </w:p>
          <w:p w14:paraId="47C7AA2A"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 </w:t>
            </w:r>
          </w:p>
        </w:tc>
      </w:tr>
      <w:tr w:rsidR="008467E8" w:rsidRPr="009F2DE9" w14:paraId="0D2FCB8C" w14:textId="77777777" w:rsidTr="008467E8">
        <w:trPr>
          <w:trHeight w:val="602"/>
        </w:trPr>
        <w:tc>
          <w:tcPr>
            <w:tcW w:w="1010" w:type="dxa"/>
            <w:tcBorders>
              <w:top w:val="single" w:sz="4" w:space="0" w:color="000000"/>
              <w:left w:val="single" w:sz="4" w:space="0" w:color="000000"/>
              <w:bottom w:val="single" w:sz="4" w:space="0" w:color="000000"/>
              <w:right w:val="single" w:sz="4" w:space="0" w:color="000000"/>
            </w:tcBorders>
            <w:shd w:val="clear" w:color="auto" w:fill="D5DCE4"/>
            <w:hideMark/>
          </w:tcPr>
          <w:p w14:paraId="61090FED" w14:textId="77777777" w:rsidR="008467E8" w:rsidRPr="009F2DE9" w:rsidRDefault="008467E8">
            <w:pPr>
              <w:spacing w:line="256" w:lineRule="auto"/>
              <w:ind w:right="39"/>
              <w:jc w:val="center"/>
              <w:rPr>
                <w:rFonts w:ascii="Arial" w:hAnsi="Arial" w:cs="Arial"/>
                <w:sz w:val="24"/>
                <w:szCs w:val="24"/>
              </w:rPr>
            </w:pPr>
            <w:r w:rsidRPr="009F2DE9">
              <w:rPr>
                <w:rFonts w:ascii="Arial" w:hAnsi="Arial" w:cs="Arial"/>
                <w:sz w:val="24"/>
                <w:szCs w:val="24"/>
              </w:rPr>
              <w:t xml:space="preserve"> </w:t>
            </w:r>
          </w:p>
        </w:tc>
        <w:tc>
          <w:tcPr>
            <w:tcW w:w="8621" w:type="dxa"/>
            <w:tcBorders>
              <w:top w:val="single" w:sz="4" w:space="0" w:color="000000"/>
              <w:left w:val="single" w:sz="4" w:space="0" w:color="000000"/>
              <w:bottom w:val="single" w:sz="4" w:space="0" w:color="000000"/>
              <w:right w:val="single" w:sz="4" w:space="0" w:color="000000"/>
            </w:tcBorders>
            <w:shd w:val="clear" w:color="auto" w:fill="D5DCE4"/>
            <w:hideMark/>
          </w:tcPr>
          <w:p w14:paraId="33B4ED8F"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Board representation indicator </w:t>
            </w:r>
          </w:p>
          <w:p w14:paraId="3F0A6775" w14:textId="77777777" w:rsidR="008467E8" w:rsidRPr="009F2DE9" w:rsidRDefault="008467E8">
            <w:pPr>
              <w:spacing w:line="256" w:lineRule="auto"/>
              <w:rPr>
                <w:rFonts w:ascii="Arial" w:hAnsi="Arial" w:cs="Arial"/>
                <w:sz w:val="24"/>
                <w:szCs w:val="24"/>
              </w:rPr>
            </w:pPr>
            <w:r w:rsidRPr="009F2DE9">
              <w:rPr>
                <w:rFonts w:ascii="Arial" w:hAnsi="Arial" w:cs="Arial"/>
                <w:sz w:val="24"/>
                <w:szCs w:val="24"/>
              </w:rPr>
              <w:t xml:space="preserve">For this indicator, </w:t>
            </w:r>
            <w:r w:rsidRPr="009F2DE9">
              <w:rPr>
                <w:rFonts w:ascii="Arial" w:hAnsi="Arial" w:cs="Arial"/>
                <w:sz w:val="24"/>
                <w:szCs w:val="24"/>
                <w:u w:val="single" w:color="000000"/>
              </w:rPr>
              <w:t>compare the difference for white and BME staff</w:t>
            </w:r>
            <w:r w:rsidRPr="009F2DE9">
              <w:rPr>
                <w:rFonts w:ascii="Arial" w:hAnsi="Arial" w:cs="Arial"/>
                <w:sz w:val="24"/>
                <w:szCs w:val="24"/>
              </w:rPr>
              <w:t xml:space="preserve"> </w:t>
            </w:r>
          </w:p>
        </w:tc>
      </w:tr>
      <w:tr w:rsidR="008467E8" w:rsidRPr="009F2DE9" w14:paraId="3BE9D39C" w14:textId="77777777" w:rsidTr="008467E8">
        <w:trPr>
          <w:trHeight w:val="1350"/>
        </w:trPr>
        <w:tc>
          <w:tcPr>
            <w:tcW w:w="1010" w:type="dxa"/>
            <w:tcBorders>
              <w:top w:val="single" w:sz="4" w:space="0" w:color="000000"/>
              <w:left w:val="single" w:sz="4" w:space="0" w:color="000000"/>
              <w:bottom w:val="single" w:sz="4" w:space="0" w:color="000000"/>
              <w:right w:val="single" w:sz="4" w:space="0" w:color="000000"/>
            </w:tcBorders>
            <w:hideMark/>
          </w:tcPr>
          <w:p w14:paraId="7DA07DBE" w14:textId="77777777" w:rsidR="008467E8" w:rsidRPr="009F2DE9" w:rsidRDefault="008467E8">
            <w:pPr>
              <w:spacing w:line="256" w:lineRule="auto"/>
              <w:ind w:right="107"/>
              <w:jc w:val="center"/>
              <w:rPr>
                <w:rFonts w:ascii="Arial" w:hAnsi="Arial" w:cs="Arial"/>
                <w:sz w:val="24"/>
                <w:szCs w:val="24"/>
              </w:rPr>
            </w:pPr>
            <w:r w:rsidRPr="009F2DE9">
              <w:rPr>
                <w:rFonts w:ascii="Arial" w:hAnsi="Arial" w:cs="Arial"/>
                <w:sz w:val="24"/>
                <w:szCs w:val="24"/>
              </w:rPr>
              <w:t xml:space="preserve">9. </w:t>
            </w:r>
          </w:p>
        </w:tc>
        <w:tc>
          <w:tcPr>
            <w:tcW w:w="8621" w:type="dxa"/>
            <w:tcBorders>
              <w:top w:val="single" w:sz="4" w:space="0" w:color="000000"/>
              <w:left w:val="single" w:sz="4" w:space="0" w:color="000000"/>
              <w:bottom w:val="single" w:sz="4" w:space="0" w:color="000000"/>
              <w:right w:val="single" w:sz="4" w:space="0" w:color="000000"/>
            </w:tcBorders>
            <w:hideMark/>
          </w:tcPr>
          <w:p w14:paraId="1104D198" w14:textId="77777777" w:rsidR="008467E8" w:rsidRPr="009F2DE9" w:rsidRDefault="008467E8">
            <w:pPr>
              <w:spacing w:after="17" w:line="237" w:lineRule="auto"/>
              <w:rPr>
                <w:rFonts w:ascii="Arial" w:hAnsi="Arial" w:cs="Arial"/>
                <w:sz w:val="24"/>
                <w:szCs w:val="24"/>
              </w:rPr>
            </w:pPr>
            <w:r w:rsidRPr="009F2DE9">
              <w:rPr>
                <w:rFonts w:ascii="Arial" w:hAnsi="Arial" w:cs="Arial"/>
                <w:sz w:val="24"/>
                <w:szCs w:val="24"/>
              </w:rPr>
              <w:t xml:space="preserve">Percentage difference between the organisations’ Board membership and its overall workforce disaggregated: </w:t>
            </w:r>
          </w:p>
          <w:p w14:paraId="00E97988" w14:textId="77777777" w:rsidR="008467E8" w:rsidRPr="009F2DE9" w:rsidRDefault="008467E8">
            <w:pPr>
              <w:numPr>
                <w:ilvl w:val="0"/>
                <w:numId w:val="4"/>
              </w:numPr>
              <w:spacing w:after="16" w:line="256" w:lineRule="auto"/>
              <w:ind w:hanging="360"/>
              <w:rPr>
                <w:rFonts w:ascii="Arial" w:hAnsi="Arial" w:cs="Arial"/>
                <w:sz w:val="24"/>
                <w:szCs w:val="24"/>
              </w:rPr>
            </w:pPr>
            <w:r w:rsidRPr="009F2DE9">
              <w:rPr>
                <w:rFonts w:ascii="Arial" w:hAnsi="Arial" w:cs="Arial"/>
                <w:sz w:val="24"/>
                <w:szCs w:val="24"/>
              </w:rPr>
              <w:t xml:space="preserve">By voting membership of the Board  </w:t>
            </w:r>
          </w:p>
          <w:p w14:paraId="17E80A8F" w14:textId="77777777" w:rsidR="008467E8" w:rsidRPr="009F2DE9" w:rsidRDefault="008467E8">
            <w:pPr>
              <w:numPr>
                <w:ilvl w:val="0"/>
                <w:numId w:val="4"/>
              </w:numPr>
              <w:spacing w:line="256" w:lineRule="auto"/>
              <w:ind w:hanging="360"/>
              <w:rPr>
                <w:rFonts w:ascii="Arial" w:hAnsi="Arial" w:cs="Arial"/>
                <w:sz w:val="24"/>
                <w:szCs w:val="24"/>
              </w:rPr>
            </w:pPr>
            <w:r w:rsidRPr="009F2DE9">
              <w:rPr>
                <w:rFonts w:ascii="Arial" w:hAnsi="Arial" w:cs="Arial"/>
                <w:sz w:val="24"/>
                <w:szCs w:val="24"/>
              </w:rPr>
              <w:t xml:space="preserve">By executive membership of the Board </w:t>
            </w:r>
          </w:p>
        </w:tc>
      </w:tr>
    </w:tbl>
    <w:p w14:paraId="1467EDD7" w14:textId="77777777" w:rsidR="008467E8" w:rsidRPr="009F2DE9" w:rsidRDefault="008467E8" w:rsidP="008467E8">
      <w:pPr>
        <w:spacing w:after="0" w:line="357" w:lineRule="auto"/>
        <w:ind w:right="9910"/>
        <w:rPr>
          <w:rFonts w:ascii="Arial" w:eastAsia="Times New Roman" w:hAnsi="Arial" w:cs="Arial"/>
          <w:color w:val="000000"/>
          <w:kern w:val="2"/>
          <w:sz w:val="24"/>
          <w:szCs w:val="24"/>
          <w14:ligatures w14:val="standardContextual"/>
        </w:rPr>
      </w:pPr>
      <w:r w:rsidRPr="009F2DE9">
        <w:rPr>
          <w:rFonts w:ascii="Arial" w:hAnsi="Arial" w:cs="Arial"/>
          <w:sz w:val="24"/>
          <w:szCs w:val="24"/>
        </w:rPr>
        <w:t xml:space="preserve">  </w:t>
      </w:r>
    </w:p>
    <w:p w14:paraId="721C0AF3" w14:textId="77777777" w:rsidR="008467E8" w:rsidRPr="009F2DE9" w:rsidRDefault="008467E8" w:rsidP="008467E8">
      <w:pPr>
        <w:spacing w:after="115" w:line="256" w:lineRule="auto"/>
        <w:rPr>
          <w:rFonts w:ascii="Arial" w:hAnsi="Arial" w:cs="Arial"/>
          <w:sz w:val="24"/>
          <w:szCs w:val="24"/>
        </w:rPr>
      </w:pPr>
      <w:r w:rsidRPr="009F2DE9">
        <w:rPr>
          <w:rFonts w:ascii="Arial" w:hAnsi="Arial" w:cs="Arial"/>
          <w:sz w:val="24"/>
          <w:szCs w:val="24"/>
        </w:rPr>
        <w:t xml:space="preserve"> </w:t>
      </w:r>
    </w:p>
    <w:sectPr w:rsidR="008467E8" w:rsidRPr="009F2DE9" w:rsidSect="00F8259E">
      <w:headerReference w:type="even" r:id="rId14"/>
      <w:headerReference w:type="default" r:id="rId15"/>
      <w:footerReference w:type="default" r:id="rId16"/>
      <w:headerReference w:type="first" r:id="rId17"/>
      <w:footerReference w:type="first" r:id="rId18"/>
      <w:pgSz w:w="11906" w:h="16838" w:code="9"/>
      <w:pgMar w:top="993"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2412" w14:textId="77777777" w:rsidR="00F8259E" w:rsidRDefault="00F8259E" w:rsidP="005A2E68">
      <w:pPr>
        <w:spacing w:after="0" w:line="240" w:lineRule="auto"/>
      </w:pPr>
      <w:r>
        <w:separator/>
      </w:r>
    </w:p>
  </w:endnote>
  <w:endnote w:type="continuationSeparator" w:id="0">
    <w:p w14:paraId="3A9F7199" w14:textId="77777777" w:rsidR="00F8259E" w:rsidRDefault="00F8259E" w:rsidP="005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83131"/>
      <w:docPartObj>
        <w:docPartGallery w:val="Page Numbers (Bottom of Page)"/>
        <w:docPartUnique/>
      </w:docPartObj>
    </w:sdtPr>
    <w:sdtEndPr>
      <w:rPr>
        <w:rFonts w:ascii="Arial" w:hAnsi="Arial" w:cs="Arial"/>
        <w:noProof/>
      </w:rPr>
    </w:sdtEndPr>
    <w:sdtContent>
      <w:p w14:paraId="3E70D19A" w14:textId="7ACF4385" w:rsidR="00CF5AF2" w:rsidRPr="00755CF5" w:rsidRDefault="00CF5AF2">
        <w:pPr>
          <w:pStyle w:val="Footer"/>
          <w:jc w:val="center"/>
          <w:rPr>
            <w:rFonts w:ascii="Arial" w:hAnsi="Arial" w:cs="Arial"/>
          </w:rPr>
        </w:pPr>
        <w:r w:rsidRPr="00755CF5">
          <w:rPr>
            <w:rFonts w:ascii="Arial" w:hAnsi="Arial" w:cs="Arial"/>
          </w:rPr>
          <w:fldChar w:fldCharType="begin"/>
        </w:r>
        <w:r w:rsidRPr="00755CF5">
          <w:rPr>
            <w:rFonts w:ascii="Arial" w:hAnsi="Arial" w:cs="Arial"/>
          </w:rPr>
          <w:instrText xml:space="preserve"> PAGE   \* MERGEFORMAT </w:instrText>
        </w:r>
        <w:r w:rsidRPr="00755CF5">
          <w:rPr>
            <w:rFonts w:ascii="Arial" w:hAnsi="Arial" w:cs="Arial"/>
          </w:rPr>
          <w:fldChar w:fldCharType="separate"/>
        </w:r>
        <w:r w:rsidRPr="00755CF5">
          <w:rPr>
            <w:rFonts w:ascii="Arial" w:hAnsi="Arial" w:cs="Arial"/>
            <w:noProof/>
          </w:rPr>
          <w:t>2</w:t>
        </w:r>
        <w:r w:rsidRPr="00755CF5">
          <w:rPr>
            <w:rFonts w:ascii="Arial" w:hAnsi="Arial" w:cs="Arial"/>
            <w:noProof/>
          </w:rPr>
          <w:fldChar w:fldCharType="end"/>
        </w:r>
      </w:p>
    </w:sdtContent>
  </w:sdt>
  <w:p w14:paraId="1F0DB3A9" w14:textId="77777777" w:rsidR="00CF5AF2" w:rsidRDefault="00CF5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93ED" w14:textId="12FC6024" w:rsidR="00755CF5" w:rsidRDefault="00755CF5">
    <w:pPr>
      <w:pStyle w:val="Footer"/>
      <w:jc w:val="right"/>
    </w:pPr>
  </w:p>
  <w:p w14:paraId="37E5E2F9" w14:textId="77777777" w:rsidR="00CF5AF2" w:rsidRDefault="00CF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1070" w14:textId="77777777" w:rsidR="00F8259E" w:rsidRDefault="00F8259E" w:rsidP="005A2E68">
      <w:pPr>
        <w:spacing w:after="0" w:line="240" w:lineRule="auto"/>
      </w:pPr>
      <w:r>
        <w:separator/>
      </w:r>
    </w:p>
  </w:footnote>
  <w:footnote w:type="continuationSeparator" w:id="0">
    <w:p w14:paraId="1F3DFE7A" w14:textId="77777777" w:rsidR="00F8259E" w:rsidRDefault="00F8259E" w:rsidP="005A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4B1" w14:textId="6ECEF31C" w:rsidR="00CF5AF2" w:rsidRDefault="00CF5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992A" w14:textId="1451745B" w:rsidR="00CF5AF2" w:rsidRDefault="00CF5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CEC0" w14:textId="65FB2533" w:rsidR="00CF5AF2" w:rsidRPr="00385E2F" w:rsidRDefault="00385E2F">
    <w:pPr>
      <w:pStyle w:val="Header"/>
      <w:rPr>
        <w:rFonts w:ascii="Arial" w:hAnsi="Arial" w:cs="Arial"/>
        <w:b/>
        <w:bCs/>
        <w:sz w:val="28"/>
        <w:szCs w:val="28"/>
      </w:rPr>
    </w:pPr>
    <w:r w:rsidRPr="00385E2F">
      <w:rPr>
        <w:rFonts w:ascii="Arial" w:hAnsi="Arial" w:cs="Arial"/>
        <w:b/>
        <w:bCs/>
        <w:sz w:val="28"/>
        <w:szCs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911"/>
    <w:multiLevelType w:val="hybridMultilevel"/>
    <w:tmpl w:val="1D78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493"/>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283"/>
    <w:multiLevelType w:val="hybridMultilevel"/>
    <w:tmpl w:val="BAFC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2143"/>
    <w:multiLevelType w:val="hybridMultilevel"/>
    <w:tmpl w:val="5E065FEA"/>
    <w:lvl w:ilvl="0" w:tplc="20D2983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982EA96">
      <w:start w:val="1"/>
      <w:numFmt w:val="bullet"/>
      <w:lvlText w:val="o"/>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04C37E2">
      <w:start w:val="1"/>
      <w:numFmt w:val="bullet"/>
      <w:lvlText w:val="▪"/>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403C8C">
      <w:start w:val="1"/>
      <w:numFmt w:val="bullet"/>
      <w:lvlText w:val="•"/>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52FAB4">
      <w:start w:val="1"/>
      <w:numFmt w:val="bullet"/>
      <w:lvlText w:val="o"/>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4ADB5A">
      <w:start w:val="1"/>
      <w:numFmt w:val="bullet"/>
      <w:lvlText w:val="▪"/>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D01734">
      <w:start w:val="1"/>
      <w:numFmt w:val="bullet"/>
      <w:lvlText w:val="•"/>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161462">
      <w:start w:val="1"/>
      <w:numFmt w:val="bullet"/>
      <w:lvlText w:val="o"/>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A47F18">
      <w:start w:val="1"/>
      <w:numFmt w:val="bullet"/>
      <w:lvlText w:val="▪"/>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5C6D65"/>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13826"/>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85F6C"/>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0130DC"/>
    <w:multiLevelType w:val="hybridMultilevel"/>
    <w:tmpl w:val="5B36BF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7F75DEC"/>
    <w:multiLevelType w:val="hybridMultilevel"/>
    <w:tmpl w:val="827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2631A"/>
    <w:multiLevelType w:val="multilevel"/>
    <w:tmpl w:val="2BC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9F3F30"/>
    <w:multiLevelType w:val="hybridMultilevel"/>
    <w:tmpl w:val="C1F0A798"/>
    <w:lvl w:ilvl="0" w:tplc="DE7E241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5C9408">
      <w:start w:val="1"/>
      <w:numFmt w:val="bullet"/>
      <w:lvlText w:val="-"/>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214D60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F0FFA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AEB4A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60260A">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0EA815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7C1632">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9684BA">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ADE12F0"/>
    <w:multiLevelType w:val="hybridMultilevel"/>
    <w:tmpl w:val="F03EFC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F3E6C5D"/>
    <w:multiLevelType w:val="multilevel"/>
    <w:tmpl w:val="1426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5814CD"/>
    <w:multiLevelType w:val="hybridMultilevel"/>
    <w:tmpl w:val="0ACE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E11BC"/>
    <w:multiLevelType w:val="hybridMultilevel"/>
    <w:tmpl w:val="82BCDFD6"/>
    <w:lvl w:ilvl="0" w:tplc="FFFFFFFF">
      <w:start w:val="1"/>
      <w:numFmt w:val="decimal"/>
      <w:lvlText w:val="%1."/>
      <w:lvlJc w:val="left"/>
      <w:pPr>
        <w:ind w:left="502" w:hanging="360"/>
      </w:pPr>
      <w:rPr>
        <w:rFonts w:hint="default"/>
        <w:b w:val="0"/>
        <w:bCs w:val="0"/>
        <w:sz w:val="24"/>
        <w:szCs w:val="24"/>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49406371"/>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34F8A"/>
    <w:multiLevelType w:val="hybridMultilevel"/>
    <w:tmpl w:val="7BDE98B2"/>
    <w:lvl w:ilvl="0" w:tplc="91F03FBE">
      <w:start w:val="1"/>
      <w:numFmt w:val="decimal"/>
      <w:lvlText w:val="%1."/>
      <w:lvlJc w:val="left"/>
      <w:pPr>
        <w:ind w:left="502" w:hanging="360"/>
      </w:pPr>
      <w:rPr>
        <w:rFonts w:ascii="Arial" w:hAnsi="Arial" w:cs="Arial" w:hint="default"/>
        <w:b w:val="0"/>
        <w:bCs w:val="0"/>
        <w:i w:val="0"/>
        <w:iCs w:val="0"/>
        <w:sz w:val="24"/>
        <w:szCs w:val="24"/>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E3B6F75"/>
    <w:multiLevelType w:val="hybridMultilevel"/>
    <w:tmpl w:val="3BEE99EC"/>
    <w:lvl w:ilvl="0" w:tplc="08090001">
      <w:start w:val="1"/>
      <w:numFmt w:val="bullet"/>
      <w:lvlText w:val=""/>
      <w:lvlJc w:val="left"/>
      <w:pPr>
        <w:ind w:left="1440" w:hanging="360"/>
      </w:pPr>
      <w:rPr>
        <w:rFonts w:ascii="Symbol" w:hAnsi="Symbol" w:hint="default"/>
        <w:b w:val="0"/>
        <w:bCs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5487501"/>
    <w:multiLevelType w:val="hybridMultilevel"/>
    <w:tmpl w:val="2CD8A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200EC4"/>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BD40B1"/>
    <w:multiLevelType w:val="hybridMultilevel"/>
    <w:tmpl w:val="1D92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E0927"/>
    <w:multiLevelType w:val="hybridMultilevel"/>
    <w:tmpl w:val="9078D262"/>
    <w:lvl w:ilvl="0" w:tplc="7FF694A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E34D5"/>
    <w:multiLevelType w:val="multilevel"/>
    <w:tmpl w:val="D9F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264C9E"/>
    <w:multiLevelType w:val="hybridMultilevel"/>
    <w:tmpl w:val="0DCC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714125">
    <w:abstractNumId w:val="17"/>
  </w:num>
  <w:num w:numId="2" w16cid:durableId="1341353624">
    <w:abstractNumId w:val="16"/>
  </w:num>
  <w:num w:numId="3" w16cid:durableId="1280071170">
    <w:abstractNumId w:val="10"/>
  </w:num>
  <w:num w:numId="4" w16cid:durableId="563686658">
    <w:abstractNumId w:val="3"/>
  </w:num>
  <w:num w:numId="5" w16cid:durableId="358359006">
    <w:abstractNumId w:val="2"/>
  </w:num>
  <w:num w:numId="6" w16cid:durableId="1263879324">
    <w:abstractNumId w:val="11"/>
  </w:num>
  <w:num w:numId="7" w16cid:durableId="1228224435">
    <w:abstractNumId w:val="18"/>
  </w:num>
  <w:num w:numId="8" w16cid:durableId="135996269">
    <w:abstractNumId w:val="7"/>
  </w:num>
  <w:num w:numId="9" w16cid:durableId="1222791676">
    <w:abstractNumId w:val="8"/>
  </w:num>
  <w:num w:numId="10" w16cid:durableId="467406218">
    <w:abstractNumId w:val="0"/>
  </w:num>
  <w:num w:numId="11" w16cid:durableId="207112041">
    <w:abstractNumId w:val="23"/>
  </w:num>
  <w:num w:numId="12" w16cid:durableId="1030836111">
    <w:abstractNumId w:val="20"/>
  </w:num>
  <w:num w:numId="13" w16cid:durableId="1919051595">
    <w:abstractNumId w:val="13"/>
  </w:num>
  <w:num w:numId="14" w16cid:durableId="716052257">
    <w:abstractNumId w:val="9"/>
  </w:num>
  <w:num w:numId="15" w16cid:durableId="1928533293">
    <w:abstractNumId w:val="12"/>
  </w:num>
  <w:num w:numId="16" w16cid:durableId="1630435467">
    <w:abstractNumId w:val="6"/>
  </w:num>
  <w:num w:numId="17" w16cid:durableId="1321228292">
    <w:abstractNumId w:val="1"/>
  </w:num>
  <w:num w:numId="18" w16cid:durableId="536551031">
    <w:abstractNumId w:val="5"/>
  </w:num>
  <w:num w:numId="19" w16cid:durableId="500973435">
    <w:abstractNumId w:val="15"/>
  </w:num>
  <w:num w:numId="20" w16cid:durableId="972518098">
    <w:abstractNumId w:val="4"/>
  </w:num>
  <w:num w:numId="21" w16cid:durableId="1329018181">
    <w:abstractNumId w:val="22"/>
  </w:num>
  <w:num w:numId="22" w16cid:durableId="2050764367">
    <w:abstractNumId w:val="19"/>
  </w:num>
  <w:num w:numId="23" w16cid:durableId="1357004599">
    <w:abstractNumId w:val="21"/>
  </w:num>
  <w:num w:numId="24" w16cid:durableId="52101876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A5"/>
    <w:rsid w:val="000008A4"/>
    <w:rsid w:val="00000987"/>
    <w:rsid w:val="0000142F"/>
    <w:rsid w:val="00006A63"/>
    <w:rsid w:val="00007CE1"/>
    <w:rsid w:val="00013580"/>
    <w:rsid w:val="00015083"/>
    <w:rsid w:val="00017426"/>
    <w:rsid w:val="000201F9"/>
    <w:rsid w:val="00022A8E"/>
    <w:rsid w:val="00023CAF"/>
    <w:rsid w:val="00023F65"/>
    <w:rsid w:val="00030B9E"/>
    <w:rsid w:val="000378D1"/>
    <w:rsid w:val="0004249C"/>
    <w:rsid w:val="00044402"/>
    <w:rsid w:val="000455D6"/>
    <w:rsid w:val="00046327"/>
    <w:rsid w:val="00046D3E"/>
    <w:rsid w:val="00053094"/>
    <w:rsid w:val="00054F34"/>
    <w:rsid w:val="00056C3E"/>
    <w:rsid w:val="00057736"/>
    <w:rsid w:val="000614AA"/>
    <w:rsid w:val="00063030"/>
    <w:rsid w:val="00066073"/>
    <w:rsid w:val="000708BA"/>
    <w:rsid w:val="0007272E"/>
    <w:rsid w:val="00072E8F"/>
    <w:rsid w:val="0007477C"/>
    <w:rsid w:val="00082DC1"/>
    <w:rsid w:val="000833C1"/>
    <w:rsid w:val="0008664C"/>
    <w:rsid w:val="000866A7"/>
    <w:rsid w:val="000908BF"/>
    <w:rsid w:val="0009160A"/>
    <w:rsid w:val="000A1A4F"/>
    <w:rsid w:val="000A6AA1"/>
    <w:rsid w:val="000B01C6"/>
    <w:rsid w:val="000B1557"/>
    <w:rsid w:val="000C088A"/>
    <w:rsid w:val="000C129A"/>
    <w:rsid w:val="000C5205"/>
    <w:rsid w:val="000D1384"/>
    <w:rsid w:val="000D147F"/>
    <w:rsid w:val="000D3247"/>
    <w:rsid w:val="000D3F0F"/>
    <w:rsid w:val="000D5C5D"/>
    <w:rsid w:val="000D650C"/>
    <w:rsid w:val="000E3A9A"/>
    <w:rsid w:val="000E56F7"/>
    <w:rsid w:val="000E6990"/>
    <w:rsid w:val="000F1439"/>
    <w:rsid w:val="000F2484"/>
    <w:rsid w:val="000F36D2"/>
    <w:rsid w:val="000F4D76"/>
    <w:rsid w:val="000F6358"/>
    <w:rsid w:val="000F76BB"/>
    <w:rsid w:val="00101405"/>
    <w:rsid w:val="00105641"/>
    <w:rsid w:val="001070BD"/>
    <w:rsid w:val="001100CB"/>
    <w:rsid w:val="0011016A"/>
    <w:rsid w:val="001135D0"/>
    <w:rsid w:val="00114834"/>
    <w:rsid w:val="00116307"/>
    <w:rsid w:val="00116B51"/>
    <w:rsid w:val="0012376B"/>
    <w:rsid w:val="001250A1"/>
    <w:rsid w:val="00125DA7"/>
    <w:rsid w:val="00130B31"/>
    <w:rsid w:val="00131D18"/>
    <w:rsid w:val="001325F2"/>
    <w:rsid w:val="001348C3"/>
    <w:rsid w:val="0013634A"/>
    <w:rsid w:val="0013764D"/>
    <w:rsid w:val="0014483D"/>
    <w:rsid w:val="00146577"/>
    <w:rsid w:val="00146934"/>
    <w:rsid w:val="001474E4"/>
    <w:rsid w:val="00147FC3"/>
    <w:rsid w:val="00151069"/>
    <w:rsid w:val="00154249"/>
    <w:rsid w:val="0015429B"/>
    <w:rsid w:val="00154DB1"/>
    <w:rsid w:val="0015523C"/>
    <w:rsid w:val="00155A5D"/>
    <w:rsid w:val="0016497A"/>
    <w:rsid w:val="00167C8C"/>
    <w:rsid w:val="001717FA"/>
    <w:rsid w:val="001725BA"/>
    <w:rsid w:val="001739F1"/>
    <w:rsid w:val="00173F07"/>
    <w:rsid w:val="00175728"/>
    <w:rsid w:val="001766DD"/>
    <w:rsid w:val="00180638"/>
    <w:rsid w:val="00180B6C"/>
    <w:rsid w:val="00180C89"/>
    <w:rsid w:val="00182E65"/>
    <w:rsid w:val="001832C6"/>
    <w:rsid w:val="00184817"/>
    <w:rsid w:val="00184CAC"/>
    <w:rsid w:val="00193DCD"/>
    <w:rsid w:val="0019639B"/>
    <w:rsid w:val="001968EC"/>
    <w:rsid w:val="00197B73"/>
    <w:rsid w:val="001A0717"/>
    <w:rsid w:val="001A2A8E"/>
    <w:rsid w:val="001A5C37"/>
    <w:rsid w:val="001A7957"/>
    <w:rsid w:val="001B069A"/>
    <w:rsid w:val="001B330F"/>
    <w:rsid w:val="001B4882"/>
    <w:rsid w:val="001B51E3"/>
    <w:rsid w:val="001B60B1"/>
    <w:rsid w:val="001B6569"/>
    <w:rsid w:val="001C31D2"/>
    <w:rsid w:val="001C53E7"/>
    <w:rsid w:val="001C6D28"/>
    <w:rsid w:val="001C7A32"/>
    <w:rsid w:val="001D18C0"/>
    <w:rsid w:val="001D2ED4"/>
    <w:rsid w:val="001D7509"/>
    <w:rsid w:val="001E0A27"/>
    <w:rsid w:val="001E0E26"/>
    <w:rsid w:val="001E3B70"/>
    <w:rsid w:val="001E558C"/>
    <w:rsid w:val="001F17B1"/>
    <w:rsid w:val="001F5D9F"/>
    <w:rsid w:val="00200C61"/>
    <w:rsid w:val="00203658"/>
    <w:rsid w:val="002064B2"/>
    <w:rsid w:val="00206B29"/>
    <w:rsid w:val="00212D76"/>
    <w:rsid w:val="002166B0"/>
    <w:rsid w:val="00217DED"/>
    <w:rsid w:val="00224C63"/>
    <w:rsid w:val="00224FBD"/>
    <w:rsid w:val="0022534F"/>
    <w:rsid w:val="002259DA"/>
    <w:rsid w:val="002272A5"/>
    <w:rsid w:val="00230D33"/>
    <w:rsid w:val="002332CC"/>
    <w:rsid w:val="00235671"/>
    <w:rsid w:val="00235DCD"/>
    <w:rsid w:val="002421D8"/>
    <w:rsid w:val="00244988"/>
    <w:rsid w:val="00244BEB"/>
    <w:rsid w:val="00247184"/>
    <w:rsid w:val="002535AF"/>
    <w:rsid w:val="00254F10"/>
    <w:rsid w:val="002553EA"/>
    <w:rsid w:val="00255E20"/>
    <w:rsid w:val="00257457"/>
    <w:rsid w:val="002603D7"/>
    <w:rsid w:val="002608C8"/>
    <w:rsid w:val="00260A7A"/>
    <w:rsid w:val="002616D4"/>
    <w:rsid w:val="00267301"/>
    <w:rsid w:val="0027045E"/>
    <w:rsid w:val="00273E41"/>
    <w:rsid w:val="00277CCD"/>
    <w:rsid w:val="00280FB3"/>
    <w:rsid w:val="00284329"/>
    <w:rsid w:val="00287315"/>
    <w:rsid w:val="0028740E"/>
    <w:rsid w:val="002A007F"/>
    <w:rsid w:val="002A00C1"/>
    <w:rsid w:val="002A3712"/>
    <w:rsid w:val="002A742B"/>
    <w:rsid w:val="002B0217"/>
    <w:rsid w:val="002B1744"/>
    <w:rsid w:val="002B3BBE"/>
    <w:rsid w:val="002B3C7C"/>
    <w:rsid w:val="002B422B"/>
    <w:rsid w:val="002B635A"/>
    <w:rsid w:val="002B7229"/>
    <w:rsid w:val="002B736B"/>
    <w:rsid w:val="002C3947"/>
    <w:rsid w:val="002C7F5D"/>
    <w:rsid w:val="002D01B2"/>
    <w:rsid w:val="002D12BF"/>
    <w:rsid w:val="002D4075"/>
    <w:rsid w:val="002D6F0B"/>
    <w:rsid w:val="002E0435"/>
    <w:rsid w:val="002E0EC2"/>
    <w:rsid w:val="002E18FC"/>
    <w:rsid w:val="002E3060"/>
    <w:rsid w:val="002E7E9E"/>
    <w:rsid w:val="002F190B"/>
    <w:rsid w:val="002F5C09"/>
    <w:rsid w:val="002F6262"/>
    <w:rsid w:val="002F7003"/>
    <w:rsid w:val="003022D6"/>
    <w:rsid w:val="003038F3"/>
    <w:rsid w:val="00305A02"/>
    <w:rsid w:val="00306A47"/>
    <w:rsid w:val="00307E38"/>
    <w:rsid w:val="00311748"/>
    <w:rsid w:val="00311DD7"/>
    <w:rsid w:val="00315369"/>
    <w:rsid w:val="00316873"/>
    <w:rsid w:val="003275A2"/>
    <w:rsid w:val="00330F2F"/>
    <w:rsid w:val="00334E80"/>
    <w:rsid w:val="00341ABF"/>
    <w:rsid w:val="00343F8A"/>
    <w:rsid w:val="00346C5C"/>
    <w:rsid w:val="00347273"/>
    <w:rsid w:val="00353567"/>
    <w:rsid w:val="00355579"/>
    <w:rsid w:val="00360E87"/>
    <w:rsid w:val="0036244C"/>
    <w:rsid w:val="00362B16"/>
    <w:rsid w:val="0036379B"/>
    <w:rsid w:val="00365BA7"/>
    <w:rsid w:val="003723A8"/>
    <w:rsid w:val="003731BC"/>
    <w:rsid w:val="003757E1"/>
    <w:rsid w:val="00383521"/>
    <w:rsid w:val="00384046"/>
    <w:rsid w:val="0038563C"/>
    <w:rsid w:val="00385E2F"/>
    <w:rsid w:val="00386567"/>
    <w:rsid w:val="00390AAE"/>
    <w:rsid w:val="00391635"/>
    <w:rsid w:val="00391FE1"/>
    <w:rsid w:val="003942A4"/>
    <w:rsid w:val="00394D20"/>
    <w:rsid w:val="00395124"/>
    <w:rsid w:val="003A0986"/>
    <w:rsid w:val="003A1D13"/>
    <w:rsid w:val="003A4C51"/>
    <w:rsid w:val="003A5CC7"/>
    <w:rsid w:val="003A6325"/>
    <w:rsid w:val="003A661C"/>
    <w:rsid w:val="003B03FF"/>
    <w:rsid w:val="003B05B9"/>
    <w:rsid w:val="003B0D99"/>
    <w:rsid w:val="003B234F"/>
    <w:rsid w:val="003B3ABC"/>
    <w:rsid w:val="003B47B9"/>
    <w:rsid w:val="003B524D"/>
    <w:rsid w:val="003C01B6"/>
    <w:rsid w:val="003C1EFB"/>
    <w:rsid w:val="003C53B3"/>
    <w:rsid w:val="003D32D5"/>
    <w:rsid w:val="003D37F0"/>
    <w:rsid w:val="003D3FD2"/>
    <w:rsid w:val="003E0B0F"/>
    <w:rsid w:val="003E6A56"/>
    <w:rsid w:val="003F0618"/>
    <w:rsid w:val="003F1EF6"/>
    <w:rsid w:val="003F5804"/>
    <w:rsid w:val="003F5CFE"/>
    <w:rsid w:val="0040377D"/>
    <w:rsid w:val="0040535A"/>
    <w:rsid w:val="004103EA"/>
    <w:rsid w:val="0041462A"/>
    <w:rsid w:val="00421BCE"/>
    <w:rsid w:val="00422E68"/>
    <w:rsid w:val="0042740D"/>
    <w:rsid w:val="004302BC"/>
    <w:rsid w:val="00432CA2"/>
    <w:rsid w:val="004331CF"/>
    <w:rsid w:val="00433284"/>
    <w:rsid w:val="004339C4"/>
    <w:rsid w:val="00436718"/>
    <w:rsid w:val="00437AA8"/>
    <w:rsid w:val="00437D8A"/>
    <w:rsid w:val="004455BD"/>
    <w:rsid w:val="00446A37"/>
    <w:rsid w:val="004501C4"/>
    <w:rsid w:val="004521D0"/>
    <w:rsid w:val="00452D42"/>
    <w:rsid w:val="004537F9"/>
    <w:rsid w:val="0045471B"/>
    <w:rsid w:val="0045478B"/>
    <w:rsid w:val="0045529B"/>
    <w:rsid w:val="004610E4"/>
    <w:rsid w:val="00461E6B"/>
    <w:rsid w:val="00461F33"/>
    <w:rsid w:val="00462F03"/>
    <w:rsid w:val="00463A60"/>
    <w:rsid w:val="0046643D"/>
    <w:rsid w:val="00470CFB"/>
    <w:rsid w:val="0047296C"/>
    <w:rsid w:val="00473606"/>
    <w:rsid w:val="0047430E"/>
    <w:rsid w:val="004761AC"/>
    <w:rsid w:val="004767FC"/>
    <w:rsid w:val="00477A78"/>
    <w:rsid w:val="004801BD"/>
    <w:rsid w:val="00480C05"/>
    <w:rsid w:val="004810B9"/>
    <w:rsid w:val="004835D4"/>
    <w:rsid w:val="00484C90"/>
    <w:rsid w:val="004856C3"/>
    <w:rsid w:val="00485982"/>
    <w:rsid w:val="00485E77"/>
    <w:rsid w:val="00490FB0"/>
    <w:rsid w:val="0049119B"/>
    <w:rsid w:val="00491A5A"/>
    <w:rsid w:val="00492339"/>
    <w:rsid w:val="00492B03"/>
    <w:rsid w:val="00493000"/>
    <w:rsid w:val="00493031"/>
    <w:rsid w:val="004931C1"/>
    <w:rsid w:val="00494C5D"/>
    <w:rsid w:val="00495480"/>
    <w:rsid w:val="004959E8"/>
    <w:rsid w:val="00497576"/>
    <w:rsid w:val="004A103A"/>
    <w:rsid w:val="004A16AB"/>
    <w:rsid w:val="004A29BF"/>
    <w:rsid w:val="004A3E94"/>
    <w:rsid w:val="004A417E"/>
    <w:rsid w:val="004B2940"/>
    <w:rsid w:val="004B3F18"/>
    <w:rsid w:val="004B479A"/>
    <w:rsid w:val="004B6500"/>
    <w:rsid w:val="004C0B4F"/>
    <w:rsid w:val="004D1D39"/>
    <w:rsid w:val="004D2AAC"/>
    <w:rsid w:val="004D48CA"/>
    <w:rsid w:val="004D71F4"/>
    <w:rsid w:val="004E6211"/>
    <w:rsid w:val="004E69E6"/>
    <w:rsid w:val="004F5AC0"/>
    <w:rsid w:val="004F7099"/>
    <w:rsid w:val="005033DF"/>
    <w:rsid w:val="00504E82"/>
    <w:rsid w:val="00505892"/>
    <w:rsid w:val="00506903"/>
    <w:rsid w:val="0050722E"/>
    <w:rsid w:val="00511297"/>
    <w:rsid w:val="00511907"/>
    <w:rsid w:val="005138BC"/>
    <w:rsid w:val="00513D07"/>
    <w:rsid w:val="0051498D"/>
    <w:rsid w:val="00517ABE"/>
    <w:rsid w:val="00520485"/>
    <w:rsid w:val="00520B81"/>
    <w:rsid w:val="005215CC"/>
    <w:rsid w:val="00522EAE"/>
    <w:rsid w:val="005250BD"/>
    <w:rsid w:val="00530208"/>
    <w:rsid w:val="005304A6"/>
    <w:rsid w:val="005320E9"/>
    <w:rsid w:val="00537E94"/>
    <w:rsid w:val="00540ABE"/>
    <w:rsid w:val="00542130"/>
    <w:rsid w:val="00543835"/>
    <w:rsid w:val="005445D8"/>
    <w:rsid w:val="00550394"/>
    <w:rsid w:val="00552319"/>
    <w:rsid w:val="0055322B"/>
    <w:rsid w:val="005611C8"/>
    <w:rsid w:val="00563509"/>
    <w:rsid w:val="00565F76"/>
    <w:rsid w:val="00567FD8"/>
    <w:rsid w:val="00573FDB"/>
    <w:rsid w:val="00577C3A"/>
    <w:rsid w:val="00591074"/>
    <w:rsid w:val="00594C61"/>
    <w:rsid w:val="0059573D"/>
    <w:rsid w:val="00596965"/>
    <w:rsid w:val="0059758D"/>
    <w:rsid w:val="005A1CEB"/>
    <w:rsid w:val="005A2E68"/>
    <w:rsid w:val="005A4523"/>
    <w:rsid w:val="005B0273"/>
    <w:rsid w:val="005B2DDD"/>
    <w:rsid w:val="005B4572"/>
    <w:rsid w:val="005B474D"/>
    <w:rsid w:val="005B5C5D"/>
    <w:rsid w:val="005C177C"/>
    <w:rsid w:val="005C181A"/>
    <w:rsid w:val="005C1AD9"/>
    <w:rsid w:val="005C2377"/>
    <w:rsid w:val="005C2E86"/>
    <w:rsid w:val="005C46E0"/>
    <w:rsid w:val="005C72DA"/>
    <w:rsid w:val="005D75EB"/>
    <w:rsid w:val="005E03EE"/>
    <w:rsid w:val="005E050C"/>
    <w:rsid w:val="005E6240"/>
    <w:rsid w:val="005F0202"/>
    <w:rsid w:val="005F1498"/>
    <w:rsid w:val="005F14EF"/>
    <w:rsid w:val="005F1686"/>
    <w:rsid w:val="005F6A8A"/>
    <w:rsid w:val="005F7C1C"/>
    <w:rsid w:val="0060164B"/>
    <w:rsid w:val="00603402"/>
    <w:rsid w:val="00606665"/>
    <w:rsid w:val="006068D5"/>
    <w:rsid w:val="00607745"/>
    <w:rsid w:val="00610493"/>
    <w:rsid w:val="00620C25"/>
    <w:rsid w:val="00621FA0"/>
    <w:rsid w:val="00622E26"/>
    <w:rsid w:val="00623DCC"/>
    <w:rsid w:val="00624E32"/>
    <w:rsid w:val="00626F15"/>
    <w:rsid w:val="00627A6E"/>
    <w:rsid w:val="00632EA3"/>
    <w:rsid w:val="00640455"/>
    <w:rsid w:val="00644E19"/>
    <w:rsid w:val="006465F9"/>
    <w:rsid w:val="00646D78"/>
    <w:rsid w:val="00647A28"/>
    <w:rsid w:val="00650B55"/>
    <w:rsid w:val="00651147"/>
    <w:rsid w:val="00652316"/>
    <w:rsid w:val="00653553"/>
    <w:rsid w:val="00655AC6"/>
    <w:rsid w:val="006566F5"/>
    <w:rsid w:val="006567BC"/>
    <w:rsid w:val="00664248"/>
    <w:rsid w:val="00666E66"/>
    <w:rsid w:val="00673860"/>
    <w:rsid w:val="0067583A"/>
    <w:rsid w:val="006800C9"/>
    <w:rsid w:val="006805C8"/>
    <w:rsid w:val="006816EE"/>
    <w:rsid w:val="006909B3"/>
    <w:rsid w:val="0069230A"/>
    <w:rsid w:val="00694435"/>
    <w:rsid w:val="0069612D"/>
    <w:rsid w:val="006A01FB"/>
    <w:rsid w:val="006A02C5"/>
    <w:rsid w:val="006A0C04"/>
    <w:rsid w:val="006A1893"/>
    <w:rsid w:val="006A1F2F"/>
    <w:rsid w:val="006A5537"/>
    <w:rsid w:val="006B212D"/>
    <w:rsid w:val="006B373B"/>
    <w:rsid w:val="006B67D5"/>
    <w:rsid w:val="006B7DBF"/>
    <w:rsid w:val="006C4661"/>
    <w:rsid w:val="006C73F3"/>
    <w:rsid w:val="006D043A"/>
    <w:rsid w:val="006D1B16"/>
    <w:rsid w:val="006D21F1"/>
    <w:rsid w:val="006D29AB"/>
    <w:rsid w:val="006D4710"/>
    <w:rsid w:val="006D7359"/>
    <w:rsid w:val="006E04FC"/>
    <w:rsid w:val="006E089C"/>
    <w:rsid w:val="006E1066"/>
    <w:rsid w:val="006E1211"/>
    <w:rsid w:val="006E1FA2"/>
    <w:rsid w:val="006E30AC"/>
    <w:rsid w:val="006E651E"/>
    <w:rsid w:val="006E6BAC"/>
    <w:rsid w:val="006E7391"/>
    <w:rsid w:val="006E7A2C"/>
    <w:rsid w:val="006E7CF8"/>
    <w:rsid w:val="006F18DA"/>
    <w:rsid w:val="006F1F08"/>
    <w:rsid w:val="006F55DE"/>
    <w:rsid w:val="006F6461"/>
    <w:rsid w:val="0070169E"/>
    <w:rsid w:val="00704101"/>
    <w:rsid w:val="0070546A"/>
    <w:rsid w:val="00705946"/>
    <w:rsid w:val="00705C5F"/>
    <w:rsid w:val="00707892"/>
    <w:rsid w:val="00710CC5"/>
    <w:rsid w:val="007132F3"/>
    <w:rsid w:val="0071549F"/>
    <w:rsid w:val="0072121C"/>
    <w:rsid w:val="00723D15"/>
    <w:rsid w:val="007276E2"/>
    <w:rsid w:val="00735E39"/>
    <w:rsid w:val="007360C5"/>
    <w:rsid w:val="00737907"/>
    <w:rsid w:val="007462C2"/>
    <w:rsid w:val="00755CF5"/>
    <w:rsid w:val="0075695A"/>
    <w:rsid w:val="00762923"/>
    <w:rsid w:val="00763727"/>
    <w:rsid w:val="0076459F"/>
    <w:rsid w:val="00764986"/>
    <w:rsid w:val="0077117A"/>
    <w:rsid w:val="0077129A"/>
    <w:rsid w:val="00771960"/>
    <w:rsid w:val="00772AC6"/>
    <w:rsid w:val="00776DFF"/>
    <w:rsid w:val="007812B5"/>
    <w:rsid w:val="00783D8C"/>
    <w:rsid w:val="007854FA"/>
    <w:rsid w:val="0078627B"/>
    <w:rsid w:val="00786F4E"/>
    <w:rsid w:val="00787E6C"/>
    <w:rsid w:val="00790304"/>
    <w:rsid w:val="00795C8A"/>
    <w:rsid w:val="007A0EA0"/>
    <w:rsid w:val="007A142E"/>
    <w:rsid w:val="007A50D3"/>
    <w:rsid w:val="007B2566"/>
    <w:rsid w:val="007B2E22"/>
    <w:rsid w:val="007B3938"/>
    <w:rsid w:val="007B4123"/>
    <w:rsid w:val="007B4E61"/>
    <w:rsid w:val="007B67A5"/>
    <w:rsid w:val="007B6B27"/>
    <w:rsid w:val="007C17C8"/>
    <w:rsid w:val="007C57DA"/>
    <w:rsid w:val="007C6FBE"/>
    <w:rsid w:val="007C71F4"/>
    <w:rsid w:val="007D1365"/>
    <w:rsid w:val="007D221A"/>
    <w:rsid w:val="007D3261"/>
    <w:rsid w:val="007D5B54"/>
    <w:rsid w:val="007D6A4A"/>
    <w:rsid w:val="007D7C06"/>
    <w:rsid w:val="007E2622"/>
    <w:rsid w:val="007E2F7E"/>
    <w:rsid w:val="007F6679"/>
    <w:rsid w:val="007F6AA4"/>
    <w:rsid w:val="0081010D"/>
    <w:rsid w:val="0081282E"/>
    <w:rsid w:val="008158C6"/>
    <w:rsid w:val="00817A02"/>
    <w:rsid w:val="0082247B"/>
    <w:rsid w:val="008264C6"/>
    <w:rsid w:val="008265AA"/>
    <w:rsid w:val="00826611"/>
    <w:rsid w:val="0083022C"/>
    <w:rsid w:val="00830E13"/>
    <w:rsid w:val="00832C2A"/>
    <w:rsid w:val="00833208"/>
    <w:rsid w:val="00833413"/>
    <w:rsid w:val="008334A4"/>
    <w:rsid w:val="00834975"/>
    <w:rsid w:val="008350CB"/>
    <w:rsid w:val="008369A0"/>
    <w:rsid w:val="00836A8B"/>
    <w:rsid w:val="00836FB1"/>
    <w:rsid w:val="008401D2"/>
    <w:rsid w:val="00840C6C"/>
    <w:rsid w:val="00843513"/>
    <w:rsid w:val="008467E8"/>
    <w:rsid w:val="00852BE2"/>
    <w:rsid w:val="00852C6E"/>
    <w:rsid w:val="00860A3E"/>
    <w:rsid w:val="00860AE2"/>
    <w:rsid w:val="00864B19"/>
    <w:rsid w:val="00871335"/>
    <w:rsid w:val="0087348E"/>
    <w:rsid w:val="00877211"/>
    <w:rsid w:val="00877B16"/>
    <w:rsid w:val="008802D8"/>
    <w:rsid w:val="00883BD2"/>
    <w:rsid w:val="008842A1"/>
    <w:rsid w:val="00885A30"/>
    <w:rsid w:val="0089053E"/>
    <w:rsid w:val="008928D3"/>
    <w:rsid w:val="00897976"/>
    <w:rsid w:val="008A0B51"/>
    <w:rsid w:val="008A6890"/>
    <w:rsid w:val="008B1487"/>
    <w:rsid w:val="008B2EDB"/>
    <w:rsid w:val="008B3317"/>
    <w:rsid w:val="008B3746"/>
    <w:rsid w:val="008B692B"/>
    <w:rsid w:val="008C19E5"/>
    <w:rsid w:val="008C2DAC"/>
    <w:rsid w:val="008C720E"/>
    <w:rsid w:val="008C788D"/>
    <w:rsid w:val="008C7AB3"/>
    <w:rsid w:val="008D1050"/>
    <w:rsid w:val="008D6599"/>
    <w:rsid w:val="008D6FE1"/>
    <w:rsid w:val="008F384F"/>
    <w:rsid w:val="00902ED0"/>
    <w:rsid w:val="009043BB"/>
    <w:rsid w:val="00905FBF"/>
    <w:rsid w:val="009139A5"/>
    <w:rsid w:val="00915DDF"/>
    <w:rsid w:val="00916227"/>
    <w:rsid w:val="009169E8"/>
    <w:rsid w:val="00920728"/>
    <w:rsid w:val="009220A7"/>
    <w:rsid w:val="00933B7F"/>
    <w:rsid w:val="009405A0"/>
    <w:rsid w:val="009408B1"/>
    <w:rsid w:val="009439F2"/>
    <w:rsid w:val="00943F0A"/>
    <w:rsid w:val="00946C8B"/>
    <w:rsid w:val="00950343"/>
    <w:rsid w:val="009513C3"/>
    <w:rsid w:val="00951F81"/>
    <w:rsid w:val="009530A4"/>
    <w:rsid w:val="0095472A"/>
    <w:rsid w:val="0095764C"/>
    <w:rsid w:val="009577C2"/>
    <w:rsid w:val="00960BD2"/>
    <w:rsid w:val="009613A4"/>
    <w:rsid w:val="0096281F"/>
    <w:rsid w:val="0096463B"/>
    <w:rsid w:val="009650EB"/>
    <w:rsid w:val="00966FCC"/>
    <w:rsid w:val="00967AE8"/>
    <w:rsid w:val="00970944"/>
    <w:rsid w:val="00974BB6"/>
    <w:rsid w:val="0097700A"/>
    <w:rsid w:val="00977895"/>
    <w:rsid w:val="009808C7"/>
    <w:rsid w:val="00981A01"/>
    <w:rsid w:val="009823BE"/>
    <w:rsid w:val="0099385E"/>
    <w:rsid w:val="009945AB"/>
    <w:rsid w:val="009958DB"/>
    <w:rsid w:val="00996A0B"/>
    <w:rsid w:val="009970C9"/>
    <w:rsid w:val="009A0E48"/>
    <w:rsid w:val="009A4594"/>
    <w:rsid w:val="009B0E33"/>
    <w:rsid w:val="009B42A1"/>
    <w:rsid w:val="009B4A27"/>
    <w:rsid w:val="009B6E9C"/>
    <w:rsid w:val="009B745F"/>
    <w:rsid w:val="009C43CB"/>
    <w:rsid w:val="009C517C"/>
    <w:rsid w:val="009C6CC7"/>
    <w:rsid w:val="009C6D0D"/>
    <w:rsid w:val="009D05DC"/>
    <w:rsid w:val="009D084A"/>
    <w:rsid w:val="009E0B3C"/>
    <w:rsid w:val="009E37F3"/>
    <w:rsid w:val="009E413F"/>
    <w:rsid w:val="009E694F"/>
    <w:rsid w:val="009F2DE9"/>
    <w:rsid w:val="009F3C2B"/>
    <w:rsid w:val="009F44F5"/>
    <w:rsid w:val="009F586B"/>
    <w:rsid w:val="009F5A61"/>
    <w:rsid w:val="00A003B9"/>
    <w:rsid w:val="00A02665"/>
    <w:rsid w:val="00A040F1"/>
    <w:rsid w:val="00A04165"/>
    <w:rsid w:val="00A045C9"/>
    <w:rsid w:val="00A0514C"/>
    <w:rsid w:val="00A1154F"/>
    <w:rsid w:val="00A1711D"/>
    <w:rsid w:val="00A21CB8"/>
    <w:rsid w:val="00A3062C"/>
    <w:rsid w:val="00A327A0"/>
    <w:rsid w:val="00A43823"/>
    <w:rsid w:val="00A439DF"/>
    <w:rsid w:val="00A454BE"/>
    <w:rsid w:val="00A46F59"/>
    <w:rsid w:val="00A51990"/>
    <w:rsid w:val="00A541E7"/>
    <w:rsid w:val="00A57545"/>
    <w:rsid w:val="00A575F0"/>
    <w:rsid w:val="00A628AF"/>
    <w:rsid w:val="00A65200"/>
    <w:rsid w:val="00A66980"/>
    <w:rsid w:val="00A67426"/>
    <w:rsid w:val="00A7247E"/>
    <w:rsid w:val="00A74B85"/>
    <w:rsid w:val="00A75F67"/>
    <w:rsid w:val="00A8430F"/>
    <w:rsid w:val="00A85C30"/>
    <w:rsid w:val="00A90F1B"/>
    <w:rsid w:val="00A938D8"/>
    <w:rsid w:val="00A95FDC"/>
    <w:rsid w:val="00A96A30"/>
    <w:rsid w:val="00A97108"/>
    <w:rsid w:val="00AA09EE"/>
    <w:rsid w:val="00AA25BE"/>
    <w:rsid w:val="00AA29BB"/>
    <w:rsid w:val="00AA370D"/>
    <w:rsid w:val="00AA3799"/>
    <w:rsid w:val="00AA7136"/>
    <w:rsid w:val="00AA7E80"/>
    <w:rsid w:val="00AA7FC9"/>
    <w:rsid w:val="00AB1EA4"/>
    <w:rsid w:val="00AB38CE"/>
    <w:rsid w:val="00AB4EBD"/>
    <w:rsid w:val="00AB58D6"/>
    <w:rsid w:val="00AC38F2"/>
    <w:rsid w:val="00AC4E9E"/>
    <w:rsid w:val="00AC4F3B"/>
    <w:rsid w:val="00AD1A8C"/>
    <w:rsid w:val="00AD25CB"/>
    <w:rsid w:val="00AD4B48"/>
    <w:rsid w:val="00AE0CBF"/>
    <w:rsid w:val="00AE5B84"/>
    <w:rsid w:val="00AE6EA4"/>
    <w:rsid w:val="00AF0656"/>
    <w:rsid w:val="00AF17F1"/>
    <w:rsid w:val="00AF5DDC"/>
    <w:rsid w:val="00AF605D"/>
    <w:rsid w:val="00AF6AF0"/>
    <w:rsid w:val="00B00C93"/>
    <w:rsid w:val="00B01511"/>
    <w:rsid w:val="00B07E1F"/>
    <w:rsid w:val="00B11680"/>
    <w:rsid w:val="00B1247B"/>
    <w:rsid w:val="00B155E0"/>
    <w:rsid w:val="00B1585B"/>
    <w:rsid w:val="00B16C68"/>
    <w:rsid w:val="00B2130A"/>
    <w:rsid w:val="00B2137C"/>
    <w:rsid w:val="00B227DC"/>
    <w:rsid w:val="00B23F9E"/>
    <w:rsid w:val="00B2517D"/>
    <w:rsid w:val="00B31656"/>
    <w:rsid w:val="00B37D25"/>
    <w:rsid w:val="00B41280"/>
    <w:rsid w:val="00B4296E"/>
    <w:rsid w:val="00B50CC0"/>
    <w:rsid w:val="00B54A0F"/>
    <w:rsid w:val="00B55D90"/>
    <w:rsid w:val="00B563E6"/>
    <w:rsid w:val="00B574CD"/>
    <w:rsid w:val="00B60CB7"/>
    <w:rsid w:val="00B62020"/>
    <w:rsid w:val="00B63720"/>
    <w:rsid w:val="00B657B6"/>
    <w:rsid w:val="00B67BE5"/>
    <w:rsid w:val="00B7585B"/>
    <w:rsid w:val="00B76027"/>
    <w:rsid w:val="00B823E2"/>
    <w:rsid w:val="00B82771"/>
    <w:rsid w:val="00B84B79"/>
    <w:rsid w:val="00B85A5B"/>
    <w:rsid w:val="00B86CE9"/>
    <w:rsid w:val="00B908EE"/>
    <w:rsid w:val="00B936EB"/>
    <w:rsid w:val="00BA3490"/>
    <w:rsid w:val="00BA7F6D"/>
    <w:rsid w:val="00BB04AD"/>
    <w:rsid w:val="00BB16C9"/>
    <w:rsid w:val="00BB2D9F"/>
    <w:rsid w:val="00BB661A"/>
    <w:rsid w:val="00BB7365"/>
    <w:rsid w:val="00BC0D08"/>
    <w:rsid w:val="00BC1783"/>
    <w:rsid w:val="00BC24E5"/>
    <w:rsid w:val="00BC25CC"/>
    <w:rsid w:val="00BC358B"/>
    <w:rsid w:val="00BC3F11"/>
    <w:rsid w:val="00BD07AF"/>
    <w:rsid w:val="00BD31E0"/>
    <w:rsid w:val="00BD5B55"/>
    <w:rsid w:val="00BD7499"/>
    <w:rsid w:val="00BD7525"/>
    <w:rsid w:val="00BD7AB0"/>
    <w:rsid w:val="00BD7FAB"/>
    <w:rsid w:val="00BE2AFE"/>
    <w:rsid w:val="00BE6D93"/>
    <w:rsid w:val="00BE779B"/>
    <w:rsid w:val="00BF593F"/>
    <w:rsid w:val="00BF6FDD"/>
    <w:rsid w:val="00C00798"/>
    <w:rsid w:val="00C02E51"/>
    <w:rsid w:val="00C05691"/>
    <w:rsid w:val="00C06377"/>
    <w:rsid w:val="00C0675C"/>
    <w:rsid w:val="00C1326A"/>
    <w:rsid w:val="00C135E7"/>
    <w:rsid w:val="00C14DBD"/>
    <w:rsid w:val="00C16554"/>
    <w:rsid w:val="00C262C3"/>
    <w:rsid w:val="00C2743D"/>
    <w:rsid w:val="00C301B9"/>
    <w:rsid w:val="00C31DFF"/>
    <w:rsid w:val="00C32CC6"/>
    <w:rsid w:val="00C37874"/>
    <w:rsid w:val="00C426BB"/>
    <w:rsid w:val="00C42CE5"/>
    <w:rsid w:val="00C43A49"/>
    <w:rsid w:val="00C43CC5"/>
    <w:rsid w:val="00C4580E"/>
    <w:rsid w:val="00C4602A"/>
    <w:rsid w:val="00C460EC"/>
    <w:rsid w:val="00C47341"/>
    <w:rsid w:val="00C47E99"/>
    <w:rsid w:val="00C5226A"/>
    <w:rsid w:val="00C52492"/>
    <w:rsid w:val="00C54B7B"/>
    <w:rsid w:val="00C561F6"/>
    <w:rsid w:val="00C60B3A"/>
    <w:rsid w:val="00C62A4F"/>
    <w:rsid w:val="00C63142"/>
    <w:rsid w:val="00C667A5"/>
    <w:rsid w:val="00C708E8"/>
    <w:rsid w:val="00C736F9"/>
    <w:rsid w:val="00C804ED"/>
    <w:rsid w:val="00C80D49"/>
    <w:rsid w:val="00C80D6A"/>
    <w:rsid w:val="00C86222"/>
    <w:rsid w:val="00C902DA"/>
    <w:rsid w:val="00C92C5F"/>
    <w:rsid w:val="00C93C11"/>
    <w:rsid w:val="00C95778"/>
    <w:rsid w:val="00CA2B01"/>
    <w:rsid w:val="00CA34BF"/>
    <w:rsid w:val="00CA4505"/>
    <w:rsid w:val="00CA52AD"/>
    <w:rsid w:val="00CA60BC"/>
    <w:rsid w:val="00CA713C"/>
    <w:rsid w:val="00CB02C6"/>
    <w:rsid w:val="00CB1E04"/>
    <w:rsid w:val="00CB342E"/>
    <w:rsid w:val="00CB436C"/>
    <w:rsid w:val="00CC0A81"/>
    <w:rsid w:val="00CC0C26"/>
    <w:rsid w:val="00CC3DA5"/>
    <w:rsid w:val="00CC4AAC"/>
    <w:rsid w:val="00CC523E"/>
    <w:rsid w:val="00CD2E09"/>
    <w:rsid w:val="00CD6256"/>
    <w:rsid w:val="00CD6C1E"/>
    <w:rsid w:val="00CE1938"/>
    <w:rsid w:val="00CE2AB8"/>
    <w:rsid w:val="00CE479F"/>
    <w:rsid w:val="00CE6027"/>
    <w:rsid w:val="00CE68C2"/>
    <w:rsid w:val="00CF01D8"/>
    <w:rsid w:val="00CF0E87"/>
    <w:rsid w:val="00CF1E45"/>
    <w:rsid w:val="00CF2A56"/>
    <w:rsid w:val="00CF50A8"/>
    <w:rsid w:val="00CF5AF2"/>
    <w:rsid w:val="00CF62F5"/>
    <w:rsid w:val="00D02530"/>
    <w:rsid w:val="00D02C8C"/>
    <w:rsid w:val="00D0596A"/>
    <w:rsid w:val="00D05F7F"/>
    <w:rsid w:val="00D10DC9"/>
    <w:rsid w:val="00D12C3D"/>
    <w:rsid w:val="00D13314"/>
    <w:rsid w:val="00D20720"/>
    <w:rsid w:val="00D2302C"/>
    <w:rsid w:val="00D2317B"/>
    <w:rsid w:val="00D33C42"/>
    <w:rsid w:val="00D35F12"/>
    <w:rsid w:val="00D415AD"/>
    <w:rsid w:val="00D44542"/>
    <w:rsid w:val="00D458E2"/>
    <w:rsid w:val="00D46382"/>
    <w:rsid w:val="00D46457"/>
    <w:rsid w:val="00D50560"/>
    <w:rsid w:val="00D50B53"/>
    <w:rsid w:val="00D52055"/>
    <w:rsid w:val="00D524D0"/>
    <w:rsid w:val="00D53020"/>
    <w:rsid w:val="00D54F3C"/>
    <w:rsid w:val="00D550C6"/>
    <w:rsid w:val="00D56884"/>
    <w:rsid w:val="00D624A0"/>
    <w:rsid w:val="00D6325E"/>
    <w:rsid w:val="00D63D82"/>
    <w:rsid w:val="00D65F7C"/>
    <w:rsid w:val="00D7164B"/>
    <w:rsid w:val="00D81790"/>
    <w:rsid w:val="00D82CB7"/>
    <w:rsid w:val="00D83451"/>
    <w:rsid w:val="00D85595"/>
    <w:rsid w:val="00D96285"/>
    <w:rsid w:val="00DA0E0F"/>
    <w:rsid w:val="00DA170C"/>
    <w:rsid w:val="00DA1B76"/>
    <w:rsid w:val="00DA3DB9"/>
    <w:rsid w:val="00DA3DD1"/>
    <w:rsid w:val="00DA6B6C"/>
    <w:rsid w:val="00DB18CE"/>
    <w:rsid w:val="00DB1FD7"/>
    <w:rsid w:val="00DB7AD1"/>
    <w:rsid w:val="00DC02BC"/>
    <w:rsid w:val="00DC2D62"/>
    <w:rsid w:val="00DC6038"/>
    <w:rsid w:val="00DD0332"/>
    <w:rsid w:val="00DD2677"/>
    <w:rsid w:val="00DD2CA3"/>
    <w:rsid w:val="00DD4BE6"/>
    <w:rsid w:val="00DD50FC"/>
    <w:rsid w:val="00DD52D0"/>
    <w:rsid w:val="00DD654A"/>
    <w:rsid w:val="00DD6E4F"/>
    <w:rsid w:val="00DE5A45"/>
    <w:rsid w:val="00DE5B18"/>
    <w:rsid w:val="00DE6CD4"/>
    <w:rsid w:val="00DE7F53"/>
    <w:rsid w:val="00DF1A21"/>
    <w:rsid w:val="00DF306C"/>
    <w:rsid w:val="00DF35E6"/>
    <w:rsid w:val="00DF44E8"/>
    <w:rsid w:val="00DF773D"/>
    <w:rsid w:val="00E00442"/>
    <w:rsid w:val="00E00635"/>
    <w:rsid w:val="00E009E1"/>
    <w:rsid w:val="00E00F1D"/>
    <w:rsid w:val="00E016AA"/>
    <w:rsid w:val="00E05329"/>
    <w:rsid w:val="00E067D7"/>
    <w:rsid w:val="00E10D2C"/>
    <w:rsid w:val="00E1101A"/>
    <w:rsid w:val="00E136AF"/>
    <w:rsid w:val="00E136CE"/>
    <w:rsid w:val="00E13BFF"/>
    <w:rsid w:val="00E141E6"/>
    <w:rsid w:val="00E23024"/>
    <w:rsid w:val="00E236F0"/>
    <w:rsid w:val="00E252B3"/>
    <w:rsid w:val="00E27B95"/>
    <w:rsid w:val="00E30239"/>
    <w:rsid w:val="00E30FA2"/>
    <w:rsid w:val="00E34C98"/>
    <w:rsid w:val="00E40132"/>
    <w:rsid w:val="00E44A48"/>
    <w:rsid w:val="00E573A5"/>
    <w:rsid w:val="00E575D4"/>
    <w:rsid w:val="00E575F7"/>
    <w:rsid w:val="00E577A3"/>
    <w:rsid w:val="00E62EB7"/>
    <w:rsid w:val="00E6356E"/>
    <w:rsid w:val="00E70617"/>
    <w:rsid w:val="00E70BFA"/>
    <w:rsid w:val="00E70DEB"/>
    <w:rsid w:val="00E7247B"/>
    <w:rsid w:val="00E73479"/>
    <w:rsid w:val="00E744B7"/>
    <w:rsid w:val="00E753D7"/>
    <w:rsid w:val="00E7584B"/>
    <w:rsid w:val="00E76886"/>
    <w:rsid w:val="00E76B24"/>
    <w:rsid w:val="00E774A6"/>
    <w:rsid w:val="00E8220B"/>
    <w:rsid w:val="00E82911"/>
    <w:rsid w:val="00E82E12"/>
    <w:rsid w:val="00E86EBC"/>
    <w:rsid w:val="00E900DE"/>
    <w:rsid w:val="00E9010B"/>
    <w:rsid w:val="00E97028"/>
    <w:rsid w:val="00EA1B2F"/>
    <w:rsid w:val="00EA3045"/>
    <w:rsid w:val="00EA33BA"/>
    <w:rsid w:val="00EA4308"/>
    <w:rsid w:val="00EA6089"/>
    <w:rsid w:val="00EA6929"/>
    <w:rsid w:val="00EA6AC8"/>
    <w:rsid w:val="00EA6D12"/>
    <w:rsid w:val="00EA7793"/>
    <w:rsid w:val="00EA7E4E"/>
    <w:rsid w:val="00EB14EF"/>
    <w:rsid w:val="00EB3383"/>
    <w:rsid w:val="00EB5986"/>
    <w:rsid w:val="00EB664B"/>
    <w:rsid w:val="00EC4749"/>
    <w:rsid w:val="00ED3AE5"/>
    <w:rsid w:val="00ED6050"/>
    <w:rsid w:val="00EE1366"/>
    <w:rsid w:val="00EE2860"/>
    <w:rsid w:val="00EE4023"/>
    <w:rsid w:val="00EE59CA"/>
    <w:rsid w:val="00EF57C1"/>
    <w:rsid w:val="00F04B60"/>
    <w:rsid w:val="00F0593B"/>
    <w:rsid w:val="00F21297"/>
    <w:rsid w:val="00F23DC5"/>
    <w:rsid w:val="00F24B08"/>
    <w:rsid w:val="00F254C2"/>
    <w:rsid w:val="00F26EBC"/>
    <w:rsid w:val="00F32D02"/>
    <w:rsid w:val="00F34B47"/>
    <w:rsid w:val="00F34FC5"/>
    <w:rsid w:val="00F35003"/>
    <w:rsid w:val="00F37227"/>
    <w:rsid w:val="00F37D17"/>
    <w:rsid w:val="00F41EBC"/>
    <w:rsid w:val="00F422CB"/>
    <w:rsid w:val="00F45AFB"/>
    <w:rsid w:val="00F45AFD"/>
    <w:rsid w:val="00F462A4"/>
    <w:rsid w:val="00F508C0"/>
    <w:rsid w:val="00F50DA2"/>
    <w:rsid w:val="00F52716"/>
    <w:rsid w:val="00F531BE"/>
    <w:rsid w:val="00F5436E"/>
    <w:rsid w:val="00F54FF4"/>
    <w:rsid w:val="00F6190A"/>
    <w:rsid w:val="00F66526"/>
    <w:rsid w:val="00F66D18"/>
    <w:rsid w:val="00F6785F"/>
    <w:rsid w:val="00F6786F"/>
    <w:rsid w:val="00F7279F"/>
    <w:rsid w:val="00F733A5"/>
    <w:rsid w:val="00F7402D"/>
    <w:rsid w:val="00F7444F"/>
    <w:rsid w:val="00F80623"/>
    <w:rsid w:val="00F81D38"/>
    <w:rsid w:val="00F8259E"/>
    <w:rsid w:val="00F83273"/>
    <w:rsid w:val="00F86229"/>
    <w:rsid w:val="00F90875"/>
    <w:rsid w:val="00F957FB"/>
    <w:rsid w:val="00F9763F"/>
    <w:rsid w:val="00FA1663"/>
    <w:rsid w:val="00FA3DAF"/>
    <w:rsid w:val="00FA4990"/>
    <w:rsid w:val="00FA63AD"/>
    <w:rsid w:val="00FB5055"/>
    <w:rsid w:val="00FB6205"/>
    <w:rsid w:val="00FB6CC5"/>
    <w:rsid w:val="00FB7DE6"/>
    <w:rsid w:val="00FC07C2"/>
    <w:rsid w:val="00FC368C"/>
    <w:rsid w:val="00FC4138"/>
    <w:rsid w:val="00FC758B"/>
    <w:rsid w:val="00FC7B57"/>
    <w:rsid w:val="00FD4E1D"/>
    <w:rsid w:val="00FD54BA"/>
    <w:rsid w:val="00FD600F"/>
    <w:rsid w:val="00FD7E46"/>
    <w:rsid w:val="00FE08C0"/>
    <w:rsid w:val="00FE2B51"/>
    <w:rsid w:val="00FF1B8D"/>
    <w:rsid w:val="00FF2CF2"/>
    <w:rsid w:val="00FF3ED6"/>
    <w:rsid w:val="00FF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96450"/>
  <w15:docId w15:val="{1709F06C-F43C-4E89-A58C-3F082292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67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_DARK BLUE"/>
    <w:basedOn w:val="Normal"/>
    <w:next w:val="Normal"/>
    <w:link w:val="Heading3Char"/>
    <w:uiPriority w:val="9"/>
    <w:unhideWhenUsed/>
    <w:qFormat/>
    <w:rsid w:val="00CA713C"/>
    <w:pPr>
      <w:keepNext/>
      <w:keepLines/>
      <w:spacing w:before="240" w:after="120" w:line="264" w:lineRule="auto"/>
      <w:outlineLvl w:val="2"/>
    </w:pPr>
    <w:rPr>
      <w:rFonts w:asciiTheme="majorHAnsi" w:eastAsiaTheme="majorEastAsia" w:hAnsiTheme="majorHAnsi" w:cstheme="majorBidi"/>
      <w:color w:val="003087"/>
      <w:sz w:val="26"/>
      <w:szCs w:val="24"/>
    </w:rPr>
  </w:style>
  <w:style w:type="paragraph" w:styleId="Heading8">
    <w:name w:val="heading 8"/>
    <w:basedOn w:val="Normal"/>
    <w:next w:val="Normal"/>
    <w:link w:val="Heading8Char"/>
    <w:uiPriority w:val="9"/>
    <w:semiHidden/>
    <w:unhideWhenUsed/>
    <w:qFormat/>
    <w:rsid w:val="00CA71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A5"/>
    <w:rPr>
      <w:rFonts w:ascii="Tahoma" w:hAnsi="Tahoma" w:cs="Tahoma"/>
      <w:sz w:val="16"/>
      <w:szCs w:val="16"/>
    </w:rPr>
  </w:style>
  <w:style w:type="table" w:styleId="TableGrid">
    <w:name w:val="Table Grid"/>
    <w:basedOn w:val="TableNormal"/>
    <w:uiPriority w:val="39"/>
    <w:rsid w:val="007B6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368C"/>
    <w:pPr>
      <w:ind w:left="720"/>
      <w:contextualSpacing/>
    </w:pPr>
  </w:style>
  <w:style w:type="character" w:styleId="Hyperlink">
    <w:name w:val="Hyperlink"/>
    <w:basedOn w:val="DefaultParagraphFont"/>
    <w:uiPriority w:val="99"/>
    <w:unhideWhenUsed/>
    <w:rsid w:val="00CE2AB8"/>
    <w:rPr>
      <w:color w:val="0000FF" w:themeColor="hyperlink"/>
      <w:u w:val="single"/>
    </w:rPr>
  </w:style>
  <w:style w:type="paragraph" w:styleId="Header">
    <w:name w:val="header"/>
    <w:basedOn w:val="Normal"/>
    <w:link w:val="HeaderChar"/>
    <w:uiPriority w:val="99"/>
    <w:unhideWhenUsed/>
    <w:rsid w:val="005A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68"/>
  </w:style>
  <w:style w:type="paragraph" w:styleId="Footer">
    <w:name w:val="footer"/>
    <w:basedOn w:val="Normal"/>
    <w:link w:val="FooterChar"/>
    <w:uiPriority w:val="99"/>
    <w:unhideWhenUsed/>
    <w:rsid w:val="005A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68"/>
  </w:style>
  <w:style w:type="paragraph" w:styleId="FootnoteText">
    <w:name w:val="footnote text"/>
    <w:basedOn w:val="Normal"/>
    <w:link w:val="FootnoteTextChar"/>
    <w:uiPriority w:val="99"/>
    <w:semiHidden/>
    <w:rsid w:val="00CC523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C523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CC523E"/>
    <w:rPr>
      <w:vertAlign w:val="superscript"/>
    </w:rPr>
  </w:style>
  <w:style w:type="character" w:customStyle="1" w:styleId="ListParagraphChar">
    <w:name w:val="List Paragraph Char"/>
    <w:basedOn w:val="DefaultParagraphFont"/>
    <w:link w:val="ListParagraph"/>
    <w:uiPriority w:val="34"/>
    <w:locked/>
    <w:rsid w:val="00235671"/>
  </w:style>
  <w:style w:type="paragraph" w:styleId="BodyTextIndent">
    <w:name w:val="Body Text Indent"/>
    <w:basedOn w:val="Normal"/>
    <w:link w:val="BodyTextIndentChar"/>
    <w:semiHidden/>
    <w:rsid w:val="009F44F5"/>
    <w:pPr>
      <w:spacing w:after="0" w:line="240" w:lineRule="auto"/>
      <w:ind w:left="709" w:hanging="709"/>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9F44F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3B234F"/>
    <w:rPr>
      <w:sz w:val="16"/>
      <w:szCs w:val="16"/>
    </w:rPr>
  </w:style>
  <w:style w:type="paragraph" w:styleId="CommentText">
    <w:name w:val="annotation text"/>
    <w:basedOn w:val="Normal"/>
    <w:link w:val="CommentTextChar"/>
    <w:uiPriority w:val="99"/>
    <w:semiHidden/>
    <w:unhideWhenUsed/>
    <w:rsid w:val="003B234F"/>
    <w:pPr>
      <w:spacing w:line="240" w:lineRule="auto"/>
    </w:pPr>
    <w:rPr>
      <w:sz w:val="20"/>
      <w:szCs w:val="20"/>
    </w:rPr>
  </w:style>
  <w:style w:type="character" w:customStyle="1" w:styleId="CommentTextChar">
    <w:name w:val="Comment Text Char"/>
    <w:basedOn w:val="DefaultParagraphFont"/>
    <w:link w:val="CommentText"/>
    <w:uiPriority w:val="99"/>
    <w:semiHidden/>
    <w:rsid w:val="003B234F"/>
    <w:rPr>
      <w:sz w:val="20"/>
      <w:szCs w:val="20"/>
    </w:rPr>
  </w:style>
  <w:style w:type="paragraph" w:styleId="CommentSubject">
    <w:name w:val="annotation subject"/>
    <w:basedOn w:val="CommentText"/>
    <w:next w:val="CommentText"/>
    <w:link w:val="CommentSubjectChar"/>
    <w:uiPriority w:val="99"/>
    <w:semiHidden/>
    <w:unhideWhenUsed/>
    <w:rsid w:val="003B234F"/>
    <w:rPr>
      <w:b/>
      <w:bCs/>
    </w:rPr>
  </w:style>
  <w:style w:type="character" w:customStyle="1" w:styleId="CommentSubjectChar">
    <w:name w:val="Comment Subject Char"/>
    <w:basedOn w:val="CommentTextChar"/>
    <w:link w:val="CommentSubject"/>
    <w:uiPriority w:val="99"/>
    <w:semiHidden/>
    <w:rsid w:val="003B234F"/>
    <w:rPr>
      <w:b/>
      <w:bCs/>
      <w:sz w:val="20"/>
      <w:szCs w:val="20"/>
    </w:rPr>
  </w:style>
  <w:style w:type="paragraph" w:styleId="NormalWeb">
    <w:name w:val="Normal (Web)"/>
    <w:basedOn w:val="Normal"/>
    <w:uiPriority w:val="99"/>
    <w:semiHidden/>
    <w:unhideWhenUsed/>
    <w:rsid w:val="004A16AB"/>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16AB"/>
    <w:rPr>
      <w:i/>
      <w:iCs/>
    </w:rPr>
  </w:style>
  <w:style w:type="paragraph" w:customStyle="1" w:styleId="Default">
    <w:name w:val="Default"/>
    <w:rsid w:val="001739F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99"/>
    <w:qFormat/>
    <w:rsid w:val="00EA6089"/>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EA6089"/>
    <w:rPr>
      <w:rFonts w:ascii="Arial" w:eastAsia="Times New Roman" w:hAnsi="Arial" w:cs="Arial"/>
      <w:b/>
      <w:bCs/>
      <w:sz w:val="24"/>
      <w:szCs w:val="24"/>
      <w:u w:val="single"/>
    </w:rPr>
  </w:style>
  <w:style w:type="table" w:customStyle="1" w:styleId="TableGrid1">
    <w:name w:val="Table Grid1"/>
    <w:basedOn w:val="TableNormal"/>
    <w:next w:val="TableGrid"/>
    <w:uiPriority w:val="59"/>
    <w:rsid w:val="002B72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2603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0">
    <w:name w:val="Pa0"/>
    <w:basedOn w:val="Default"/>
    <w:next w:val="Default"/>
    <w:uiPriority w:val="99"/>
    <w:rsid w:val="001E0A27"/>
    <w:pPr>
      <w:spacing w:line="241" w:lineRule="atLeast"/>
    </w:pPr>
    <w:rPr>
      <w:rFonts w:ascii="Frutiger LT Pro 45 Light" w:hAnsi="Frutiger LT Pro 45 Light" w:cstheme="minorBidi"/>
      <w:color w:val="auto"/>
    </w:rPr>
  </w:style>
  <w:style w:type="character" w:customStyle="1" w:styleId="A7">
    <w:name w:val="A7"/>
    <w:uiPriority w:val="99"/>
    <w:rsid w:val="001E0A27"/>
    <w:rPr>
      <w:rFonts w:cs="Frutiger LT Pro 45 Light"/>
      <w:color w:val="000000"/>
      <w:sz w:val="18"/>
      <w:szCs w:val="18"/>
    </w:rPr>
  </w:style>
  <w:style w:type="character" w:customStyle="1" w:styleId="Heading3Char">
    <w:name w:val="Heading 3 Char"/>
    <w:aliases w:val="Heading 3_DARK BLUE Char"/>
    <w:basedOn w:val="DefaultParagraphFont"/>
    <w:link w:val="Heading3"/>
    <w:uiPriority w:val="9"/>
    <w:rsid w:val="00CA713C"/>
    <w:rPr>
      <w:rFonts w:asciiTheme="majorHAnsi" w:eastAsiaTheme="majorEastAsia" w:hAnsiTheme="majorHAnsi" w:cstheme="majorBidi"/>
      <w:color w:val="003087"/>
      <w:sz w:val="26"/>
      <w:szCs w:val="24"/>
    </w:rPr>
  </w:style>
  <w:style w:type="character" w:customStyle="1" w:styleId="Heading8Char">
    <w:name w:val="Heading 8 Char"/>
    <w:basedOn w:val="DefaultParagraphFont"/>
    <w:link w:val="Heading8"/>
    <w:uiPriority w:val="9"/>
    <w:semiHidden/>
    <w:rsid w:val="00CA713C"/>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960BD2"/>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60BD2"/>
    <w:rPr>
      <w:rFonts w:eastAsiaTheme="minorEastAsia"/>
      <w:lang w:val="en-US" w:eastAsia="zh-CN"/>
    </w:rPr>
  </w:style>
  <w:style w:type="table" w:customStyle="1" w:styleId="TableGrid0">
    <w:name w:val="TableGrid"/>
    <w:rsid w:val="007F6AA4"/>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7862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67E8"/>
    <w:rPr>
      <w:rFonts w:asciiTheme="majorHAnsi" w:eastAsiaTheme="majorEastAsia" w:hAnsiTheme="majorHAnsi" w:cstheme="majorBidi"/>
      <w:color w:val="365F91" w:themeColor="accent1" w:themeShade="BF"/>
      <w:sz w:val="26"/>
      <w:szCs w:val="26"/>
    </w:rPr>
  </w:style>
  <w:style w:type="character" w:customStyle="1" w:styleId="A12">
    <w:name w:val="A12"/>
    <w:uiPriority w:val="99"/>
    <w:rsid w:val="00193DCD"/>
    <w:rPr>
      <w:rFonts w:cs="Frutiger LT Std 55 Roman"/>
      <w:color w:val="000000"/>
      <w:sz w:val="32"/>
      <w:szCs w:val="32"/>
    </w:rPr>
  </w:style>
  <w:style w:type="paragraph" w:customStyle="1" w:styleId="Pa3">
    <w:name w:val="Pa3"/>
    <w:basedOn w:val="Default"/>
    <w:next w:val="Default"/>
    <w:uiPriority w:val="99"/>
    <w:rsid w:val="00C4602A"/>
    <w:pPr>
      <w:spacing w:line="361" w:lineRule="atLeast"/>
    </w:pPr>
    <w:rPr>
      <w:rFonts w:ascii="Frutiger LT Std 55 Roman" w:hAnsi="Frutiger LT Std 55 Roman" w:cstheme="minorBidi"/>
      <w:color w:val="auto"/>
    </w:rPr>
  </w:style>
  <w:style w:type="character" w:customStyle="1" w:styleId="A4">
    <w:name w:val="A4"/>
    <w:uiPriority w:val="99"/>
    <w:rsid w:val="00C4602A"/>
    <w:rPr>
      <w:rFonts w:cs="Frutiger LT Std 55 Roman"/>
      <w:color w:val="000000"/>
      <w:sz w:val="21"/>
      <w:szCs w:val="21"/>
    </w:rPr>
  </w:style>
  <w:style w:type="character" w:customStyle="1" w:styleId="Heading1Char">
    <w:name w:val="Heading 1 Char"/>
    <w:basedOn w:val="DefaultParagraphFont"/>
    <w:link w:val="Heading1"/>
    <w:uiPriority w:val="9"/>
    <w:rsid w:val="00755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364">
      <w:bodyDiv w:val="1"/>
      <w:marLeft w:val="0"/>
      <w:marRight w:val="0"/>
      <w:marTop w:val="0"/>
      <w:marBottom w:val="0"/>
      <w:divBdr>
        <w:top w:val="none" w:sz="0" w:space="0" w:color="auto"/>
        <w:left w:val="none" w:sz="0" w:space="0" w:color="auto"/>
        <w:bottom w:val="none" w:sz="0" w:space="0" w:color="auto"/>
        <w:right w:val="none" w:sz="0" w:space="0" w:color="auto"/>
      </w:divBdr>
      <w:divsChild>
        <w:div w:id="2010018297">
          <w:marLeft w:val="0"/>
          <w:marRight w:val="0"/>
          <w:marTop w:val="0"/>
          <w:marBottom w:val="0"/>
          <w:divBdr>
            <w:top w:val="none" w:sz="0" w:space="0" w:color="auto"/>
            <w:left w:val="none" w:sz="0" w:space="0" w:color="auto"/>
            <w:bottom w:val="none" w:sz="0" w:space="0" w:color="auto"/>
            <w:right w:val="none" w:sz="0" w:space="0" w:color="auto"/>
          </w:divBdr>
        </w:div>
      </w:divsChild>
    </w:div>
    <w:div w:id="116529257">
      <w:bodyDiv w:val="1"/>
      <w:marLeft w:val="0"/>
      <w:marRight w:val="0"/>
      <w:marTop w:val="0"/>
      <w:marBottom w:val="0"/>
      <w:divBdr>
        <w:top w:val="none" w:sz="0" w:space="0" w:color="auto"/>
        <w:left w:val="none" w:sz="0" w:space="0" w:color="auto"/>
        <w:bottom w:val="none" w:sz="0" w:space="0" w:color="auto"/>
        <w:right w:val="none" w:sz="0" w:space="0" w:color="auto"/>
      </w:divBdr>
    </w:div>
    <w:div w:id="192961155">
      <w:bodyDiv w:val="1"/>
      <w:marLeft w:val="0"/>
      <w:marRight w:val="0"/>
      <w:marTop w:val="0"/>
      <w:marBottom w:val="0"/>
      <w:divBdr>
        <w:top w:val="none" w:sz="0" w:space="0" w:color="auto"/>
        <w:left w:val="none" w:sz="0" w:space="0" w:color="auto"/>
        <w:bottom w:val="none" w:sz="0" w:space="0" w:color="auto"/>
        <w:right w:val="none" w:sz="0" w:space="0" w:color="auto"/>
      </w:divBdr>
    </w:div>
    <w:div w:id="229535647">
      <w:bodyDiv w:val="1"/>
      <w:marLeft w:val="0"/>
      <w:marRight w:val="0"/>
      <w:marTop w:val="0"/>
      <w:marBottom w:val="0"/>
      <w:divBdr>
        <w:top w:val="none" w:sz="0" w:space="0" w:color="auto"/>
        <w:left w:val="none" w:sz="0" w:space="0" w:color="auto"/>
        <w:bottom w:val="none" w:sz="0" w:space="0" w:color="auto"/>
        <w:right w:val="none" w:sz="0" w:space="0" w:color="auto"/>
      </w:divBdr>
    </w:div>
    <w:div w:id="453868600">
      <w:bodyDiv w:val="1"/>
      <w:marLeft w:val="0"/>
      <w:marRight w:val="0"/>
      <w:marTop w:val="0"/>
      <w:marBottom w:val="0"/>
      <w:divBdr>
        <w:top w:val="none" w:sz="0" w:space="0" w:color="auto"/>
        <w:left w:val="none" w:sz="0" w:space="0" w:color="auto"/>
        <w:bottom w:val="none" w:sz="0" w:space="0" w:color="auto"/>
        <w:right w:val="none" w:sz="0" w:space="0" w:color="auto"/>
      </w:divBdr>
    </w:div>
    <w:div w:id="511724890">
      <w:bodyDiv w:val="1"/>
      <w:marLeft w:val="0"/>
      <w:marRight w:val="0"/>
      <w:marTop w:val="0"/>
      <w:marBottom w:val="0"/>
      <w:divBdr>
        <w:top w:val="none" w:sz="0" w:space="0" w:color="auto"/>
        <w:left w:val="none" w:sz="0" w:space="0" w:color="auto"/>
        <w:bottom w:val="none" w:sz="0" w:space="0" w:color="auto"/>
        <w:right w:val="none" w:sz="0" w:space="0" w:color="auto"/>
      </w:divBdr>
      <w:divsChild>
        <w:div w:id="460223271">
          <w:marLeft w:val="446"/>
          <w:marRight w:val="0"/>
          <w:marTop w:val="0"/>
          <w:marBottom w:val="0"/>
          <w:divBdr>
            <w:top w:val="none" w:sz="0" w:space="0" w:color="auto"/>
            <w:left w:val="none" w:sz="0" w:space="0" w:color="auto"/>
            <w:bottom w:val="none" w:sz="0" w:space="0" w:color="auto"/>
            <w:right w:val="none" w:sz="0" w:space="0" w:color="auto"/>
          </w:divBdr>
        </w:div>
        <w:div w:id="1339192045">
          <w:marLeft w:val="446"/>
          <w:marRight w:val="0"/>
          <w:marTop w:val="0"/>
          <w:marBottom w:val="0"/>
          <w:divBdr>
            <w:top w:val="none" w:sz="0" w:space="0" w:color="auto"/>
            <w:left w:val="none" w:sz="0" w:space="0" w:color="auto"/>
            <w:bottom w:val="none" w:sz="0" w:space="0" w:color="auto"/>
            <w:right w:val="none" w:sz="0" w:space="0" w:color="auto"/>
          </w:divBdr>
        </w:div>
        <w:div w:id="1692755040">
          <w:marLeft w:val="446"/>
          <w:marRight w:val="0"/>
          <w:marTop w:val="0"/>
          <w:marBottom w:val="0"/>
          <w:divBdr>
            <w:top w:val="none" w:sz="0" w:space="0" w:color="auto"/>
            <w:left w:val="none" w:sz="0" w:space="0" w:color="auto"/>
            <w:bottom w:val="none" w:sz="0" w:space="0" w:color="auto"/>
            <w:right w:val="none" w:sz="0" w:space="0" w:color="auto"/>
          </w:divBdr>
        </w:div>
        <w:div w:id="32119696">
          <w:marLeft w:val="446"/>
          <w:marRight w:val="0"/>
          <w:marTop w:val="0"/>
          <w:marBottom w:val="0"/>
          <w:divBdr>
            <w:top w:val="none" w:sz="0" w:space="0" w:color="auto"/>
            <w:left w:val="none" w:sz="0" w:space="0" w:color="auto"/>
            <w:bottom w:val="none" w:sz="0" w:space="0" w:color="auto"/>
            <w:right w:val="none" w:sz="0" w:space="0" w:color="auto"/>
          </w:divBdr>
        </w:div>
        <w:div w:id="1829049582">
          <w:marLeft w:val="446"/>
          <w:marRight w:val="0"/>
          <w:marTop w:val="0"/>
          <w:marBottom w:val="0"/>
          <w:divBdr>
            <w:top w:val="none" w:sz="0" w:space="0" w:color="auto"/>
            <w:left w:val="none" w:sz="0" w:space="0" w:color="auto"/>
            <w:bottom w:val="none" w:sz="0" w:space="0" w:color="auto"/>
            <w:right w:val="none" w:sz="0" w:space="0" w:color="auto"/>
          </w:divBdr>
        </w:div>
        <w:div w:id="1216770888">
          <w:marLeft w:val="446"/>
          <w:marRight w:val="0"/>
          <w:marTop w:val="0"/>
          <w:marBottom w:val="0"/>
          <w:divBdr>
            <w:top w:val="none" w:sz="0" w:space="0" w:color="auto"/>
            <w:left w:val="none" w:sz="0" w:space="0" w:color="auto"/>
            <w:bottom w:val="none" w:sz="0" w:space="0" w:color="auto"/>
            <w:right w:val="none" w:sz="0" w:space="0" w:color="auto"/>
          </w:divBdr>
        </w:div>
        <w:div w:id="1669822483">
          <w:marLeft w:val="446"/>
          <w:marRight w:val="0"/>
          <w:marTop w:val="0"/>
          <w:marBottom w:val="0"/>
          <w:divBdr>
            <w:top w:val="none" w:sz="0" w:space="0" w:color="auto"/>
            <w:left w:val="none" w:sz="0" w:space="0" w:color="auto"/>
            <w:bottom w:val="none" w:sz="0" w:space="0" w:color="auto"/>
            <w:right w:val="none" w:sz="0" w:space="0" w:color="auto"/>
          </w:divBdr>
        </w:div>
      </w:divsChild>
    </w:div>
    <w:div w:id="709575846">
      <w:bodyDiv w:val="1"/>
      <w:marLeft w:val="0"/>
      <w:marRight w:val="0"/>
      <w:marTop w:val="0"/>
      <w:marBottom w:val="0"/>
      <w:divBdr>
        <w:top w:val="none" w:sz="0" w:space="0" w:color="auto"/>
        <w:left w:val="none" w:sz="0" w:space="0" w:color="auto"/>
        <w:bottom w:val="none" w:sz="0" w:space="0" w:color="auto"/>
        <w:right w:val="none" w:sz="0" w:space="0" w:color="auto"/>
      </w:divBdr>
      <w:divsChild>
        <w:div w:id="521011489">
          <w:marLeft w:val="446"/>
          <w:marRight w:val="0"/>
          <w:marTop w:val="0"/>
          <w:marBottom w:val="0"/>
          <w:divBdr>
            <w:top w:val="none" w:sz="0" w:space="0" w:color="auto"/>
            <w:left w:val="none" w:sz="0" w:space="0" w:color="auto"/>
            <w:bottom w:val="none" w:sz="0" w:space="0" w:color="auto"/>
            <w:right w:val="none" w:sz="0" w:space="0" w:color="auto"/>
          </w:divBdr>
        </w:div>
        <w:div w:id="980617828">
          <w:marLeft w:val="446"/>
          <w:marRight w:val="0"/>
          <w:marTop w:val="0"/>
          <w:marBottom w:val="0"/>
          <w:divBdr>
            <w:top w:val="none" w:sz="0" w:space="0" w:color="auto"/>
            <w:left w:val="none" w:sz="0" w:space="0" w:color="auto"/>
            <w:bottom w:val="none" w:sz="0" w:space="0" w:color="auto"/>
            <w:right w:val="none" w:sz="0" w:space="0" w:color="auto"/>
          </w:divBdr>
        </w:div>
        <w:div w:id="716977936">
          <w:marLeft w:val="446"/>
          <w:marRight w:val="0"/>
          <w:marTop w:val="0"/>
          <w:marBottom w:val="0"/>
          <w:divBdr>
            <w:top w:val="none" w:sz="0" w:space="0" w:color="auto"/>
            <w:left w:val="none" w:sz="0" w:space="0" w:color="auto"/>
            <w:bottom w:val="none" w:sz="0" w:space="0" w:color="auto"/>
            <w:right w:val="none" w:sz="0" w:space="0" w:color="auto"/>
          </w:divBdr>
        </w:div>
        <w:div w:id="782846093">
          <w:marLeft w:val="446"/>
          <w:marRight w:val="0"/>
          <w:marTop w:val="0"/>
          <w:marBottom w:val="0"/>
          <w:divBdr>
            <w:top w:val="none" w:sz="0" w:space="0" w:color="auto"/>
            <w:left w:val="none" w:sz="0" w:space="0" w:color="auto"/>
            <w:bottom w:val="none" w:sz="0" w:space="0" w:color="auto"/>
            <w:right w:val="none" w:sz="0" w:space="0" w:color="auto"/>
          </w:divBdr>
        </w:div>
        <w:div w:id="2064791944">
          <w:marLeft w:val="446"/>
          <w:marRight w:val="0"/>
          <w:marTop w:val="0"/>
          <w:marBottom w:val="0"/>
          <w:divBdr>
            <w:top w:val="none" w:sz="0" w:space="0" w:color="auto"/>
            <w:left w:val="none" w:sz="0" w:space="0" w:color="auto"/>
            <w:bottom w:val="none" w:sz="0" w:space="0" w:color="auto"/>
            <w:right w:val="none" w:sz="0" w:space="0" w:color="auto"/>
          </w:divBdr>
        </w:div>
        <w:div w:id="1952471781">
          <w:marLeft w:val="446"/>
          <w:marRight w:val="0"/>
          <w:marTop w:val="0"/>
          <w:marBottom w:val="0"/>
          <w:divBdr>
            <w:top w:val="none" w:sz="0" w:space="0" w:color="auto"/>
            <w:left w:val="none" w:sz="0" w:space="0" w:color="auto"/>
            <w:bottom w:val="none" w:sz="0" w:space="0" w:color="auto"/>
            <w:right w:val="none" w:sz="0" w:space="0" w:color="auto"/>
          </w:divBdr>
        </w:div>
        <w:div w:id="21708588">
          <w:marLeft w:val="446"/>
          <w:marRight w:val="0"/>
          <w:marTop w:val="0"/>
          <w:marBottom w:val="0"/>
          <w:divBdr>
            <w:top w:val="none" w:sz="0" w:space="0" w:color="auto"/>
            <w:left w:val="none" w:sz="0" w:space="0" w:color="auto"/>
            <w:bottom w:val="none" w:sz="0" w:space="0" w:color="auto"/>
            <w:right w:val="none" w:sz="0" w:space="0" w:color="auto"/>
          </w:divBdr>
        </w:div>
        <w:div w:id="1687824908">
          <w:marLeft w:val="446"/>
          <w:marRight w:val="0"/>
          <w:marTop w:val="0"/>
          <w:marBottom w:val="0"/>
          <w:divBdr>
            <w:top w:val="none" w:sz="0" w:space="0" w:color="auto"/>
            <w:left w:val="none" w:sz="0" w:space="0" w:color="auto"/>
            <w:bottom w:val="none" w:sz="0" w:space="0" w:color="auto"/>
            <w:right w:val="none" w:sz="0" w:space="0" w:color="auto"/>
          </w:divBdr>
        </w:div>
      </w:divsChild>
    </w:div>
    <w:div w:id="731579513">
      <w:bodyDiv w:val="1"/>
      <w:marLeft w:val="0"/>
      <w:marRight w:val="0"/>
      <w:marTop w:val="0"/>
      <w:marBottom w:val="0"/>
      <w:divBdr>
        <w:top w:val="none" w:sz="0" w:space="0" w:color="auto"/>
        <w:left w:val="none" w:sz="0" w:space="0" w:color="auto"/>
        <w:bottom w:val="none" w:sz="0" w:space="0" w:color="auto"/>
        <w:right w:val="none" w:sz="0" w:space="0" w:color="auto"/>
      </w:divBdr>
    </w:div>
    <w:div w:id="842277667">
      <w:bodyDiv w:val="1"/>
      <w:marLeft w:val="0"/>
      <w:marRight w:val="0"/>
      <w:marTop w:val="0"/>
      <w:marBottom w:val="0"/>
      <w:divBdr>
        <w:top w:val="none" w:sz="0" w:space="0" w:color="auto"/>
        <w:left w:val="none" w:sz="0" w:space="0" w:color="auto"/>
        <w:bottom w:val="none" w:sz="0" w:space="0" w:color="auto"/>
        <w:right w:val="none" w:sz="0" w:space="0" w:color="auto"/>
      </w:divBdr>
    </w:div>
    <w:div w:id="871118158">
      <w:bodyDiv w:val="1"/>
      <w:marLeft w:val="0"/>
      <w:marRight w:val="0"/>
      <w:marTop w:val="0"/>
      <w:marBottom w:val="0"/>
      <w:divBdr>
        <w:top w:val="none" w:sz="0" w:space="0" w:color="auto"/>
        <w:left w:val="none" w:sz="0" w:space="0" w:color="auto"/>
        <w:bottom w:val="none" w:sz="0" w:space="0" w:color="auto"/>
        <w:right w:val="none" w:sz="0" w:space="0" w:color="auto"/>
      </w:divBdr>
      <w:divsChild>
        <w:div w:id="911232281">
          <w:marLeft w:val="446"/>
          <w:marRight w:val="0"/>
          <w:marTop w:val="0"/>
          <w:marBottom w:val="0"/>
          <w:divBdr>
            <w:top w:val="none" w:sz="0" w:space="0" w:color="auto"/>
            <w:left w:val="none" w:sz="0" w:space="0" w:color="auto"/>
            <w:bottom w:val="none" w:sz="0" w:space="0" w:color="auto"/>
            <w:right w:val="none" w:sz="0" w:space="0" w:color="auto"/>
          </w:divBdr>
        </w:div>
        <w:div w:id="145364481">
          <w:marLeft w:val="446"/>
          <w:marRight w:val="0"/>
          <w:marTop w:val="0"/>
          <w:marBottom w:val="0"/>
          <w:divBdr>
            <w:top w:val="none" w:sz="0" w:space="0" w:color="auto"/>
            <w:left w:val="none" w:sz="0" w:space="0" w:color="auto"/>
            <w:bottom w:val="none" w:sz="0" w:space="0" w:color="auto"/>
            <w:right w:val="none" w:sz="0" w:space="0" w:color="auto"/>
          </w:divBdr>
        </w:div>
        <w:div w:id="1699431664">
          <w:marLeft w:val="446"/>
          <w:marRight w:val="0"/>
          <w:marTop w:val="0"/>
          <w:marBottom w:val="0"/>
          <w:divBdr>
            <w:top w:val="none" w:sz="0" w:space="0" w:color="auto"/>
            <w:left w:val="none" w:sz="0" w:space="0" w:color="auto"/>
            <w:bottom w:val="none" w:sz="0" w:space="0" w:color="auto"/>
            <w:right w:val="none" w:sz="0" w:space="0" w:color="auto"/>
          </w:divBdr>
        </w:div>
        <w:div w:id="1335256882">
          <w:marLeft w:val="446"/>
          <w:marRight w:val="0"/>
          <w:marTop w:val="0"/>
          <w:marBottom w:val="0"/>
          <w:divBdr>
            <w:top w:val="none" w:sz="0" w:space="0" w:color="auto"/>
            <w:left w:val="none" w:sz="0" w:space="0" w:color="auto"/>
            <w:bottom w:val="none" w:sz="0" w:space="0" w:color="auto"/>
            <w:right w:val="none" w:sz="0" w:space="0" w:color="auto"/>
          </w:divBdr>
        </w:div>
        <w:div w:id="342324025">
          <w:marLeft w:val="446"/>
          <w:marRight w:val="0"/>
          <w:marTop w:val="0"/>
          <w:marBottom w:val="0"/>
          <w:divBdr>
            <w:top w:val="none" w:sz="0" w:space="0" w:color="auto"/>
            <w:left w:val="none" w:sz="0" w:space="0" w:color="auto"/>
            <w:bottom w:val="none" w:sz="0" w:space="0" w:color="auto"/>
            <w:right w:val="none" w:sz="0" w:space="0" w:color="auto"/>
          </w:divBdr>
        </w:div>
        <w:div w:id="303900286">
          <w:marLeft w:val="446"/>
          <w:marRight w:val="0"/>
          <w:marTop w:val="0"/>
          <w:marBottom w:val="0"/>
          <w:divBdr>
            <w:top w:val="none" w:sz="0" w:space="0" w:color="auto"/>
            <w:left w:val="none" w:sz="0" w:space="0" w:color="auto"/>
            <w:bottom w:val="none" w:sz="0" w:space="0" w:color="auto"/>
            <w:right w:val="none" w:sz="0" w:space="0" w:color="auto"/>
          </w:divBdr>
        </w:div>
      </w:divsChild>
    </w:div>
    <w:div w:id="939139666">
      <w:bodyDiv w:val="1"/>
      <w:marLeft w:val="0"/>
      <w:marRight w:val="0"/>
      <w:marTop w:val="0"/>
      <w:marBottom w:val="0"/>
      <w:divBdr>
        <w:top w:val="none" w:sz="0" w:space="0" w:color="auto"/>
        <w:left w:val="none" w:sz="0" w:space="0" w:color="auto"/>
        <w:bottom w:val="none" w:sz="0" w:space="0" w:color="auto"/>
        <w:right w:val="none" w:sz="0" w:space="0" w:color="auto"/>
      </w:divBdr>
    </w:div>
    <w:div w:id="1009793625">
      <w:bodyDiv w:val="1"/>
      <w:marLeft w:val="0"/>
      <w:marRight w:val="0"/>
      <w:marTop w:val="0"/>
      <w:marBottom w:val="0"/>
      <w:divBdr>
        <w:top w:val="none" w:sz="0" w:space="0" w:color="auto"/>
        <w:left w:val="none" w:sz="0" w:space="0" w:color="auto"/>
        <w:bottom w:val="none" w:sz="0" w:space="0" w:color="auto"/>
        <w:right w:val="none" w:sz="0" w:space="0" w:color="auto"/>
      </w:divBdr>
    </w:div>
    <w:div w:id="1026560817">
      <w:bodyDiv w:val="1"/>
      <w:marLeft w:val="0"/>
      <w:marRight w:val="0"/>
      <w:marTop w:val="0"/>
      <w:marBottom w:val="0"/>
      <w:divBdr>
        <w:top w:val="none" w:sz="0" w:space="0" w:color="auto"/>
        <w:left w:val="none" w:sz="0" w:space="0" w:color="auto"/>
        <w:bottom w:val="none" w:sz="0" w:space="0" w:color="auto"/>
        <w:right w:val="none" w:sz="0" w:space="0" w:color="auto"/>
      </w:divBdr>
    </w:div>
    <w:div w:id="1177116367">
      <w:bodyDiv w:val="1"/>
      <w:marLeft w:val="0"/>
      <w:marRight w:val="0"/>
      <w:marTop w:val="0"/>
      <w:marBottom w:val="0"/>
      <w:divBdr>
        <w:top w:val="none" w:sz="0" w:space="0" w:color="auto"/>
        <w:left w:val="none" w:sz="0" w:space="0" w:color="auto"/>
        <w:bottom w:val="none" w:sz="0" w:space="0" w:color="auto"/>
        <w:right w:val="none" w:sz="0" w:space="0" w:color="auto"/>
      </w:divBdr>
    </w:div>
    <w:div w:id="1371878854">
      <w:bodyDiv w:val="1"/>
      <w:marLeft w:val="0"/>
      <w:marRight w:val="0"/>
      <w:marTop w:val="0"/>
      <w:marBottom w:val="0"/>
      <w:divBdr>
        <w:top w:val="none" w:sz="0" w:space="0" w:color="auto"/>
        <w:left w:val="none" w:sz="0" w:space="0" w:color="auto"/>
        <w:bottom w:val="none" w:sz="0" w:space="0" w:color="auto"/>
        <w:right w:val="none" w:sz="0" w:space="0" w:color="auto"/>
      </w:divBdr>
      <w:divsChild>
        <w:div w:id="173113041">
          <w:marLeft w:val="0"/>
          <w:marRight w:val="0"/>
          <w:marTop w:val="0"/>
          <w:marBottom w:val="0"/>
          <w:divBdr>
            <w:top w:val="none" w:sz="0" w:space="0" w:color="auto"/>
            <w:left w:val="none" w:sz="0" w:space="0" w:color="auto"/>
            <w:bottom w:val="none" w:sz="0" w:space="0" w:color="auto"/>
            <w:right w:val="none" w:sz="0" w:space="0" w:color="auto"/>
          </w:divBdr>
        </w:div>
      </w:divsChild>
    </w:div>
    <w:div w:id="1425616078">
      <w:bodyDiv w:val="1"/>
      <w:marLeft w:val="0"/>
      <w:marRight w:val="0"/>
      <w:marTop w:val="0"/>
      <w:marBottom w:val="0"/>
      <w:divBdr>
        <w:top w:val="none" w:sz="0" w:space="0" w:color="auto"/>
        <w:left w:val="none" w:sz="0" w:space="0" w:color="auto"/>
        <w:bottom w:val="none" w:sz="0" w:space="0" w:color="auto"/>
        <w:right w:val="none" w:sz="0" w:space="0" w:color="auto"/>
      </w:divBdr>
    </w:div>
    <w:div w:id="1425956212">
      <w:bodyDiv w:val="1"/>
      <w:marLeft w:val="0"/>
      <w:marRight w:val="0"/>
      <w:marTop w:val="0"/>
      <w:marBottom w:val="0"/>
      <w:divBdr>
        <w:top w:val="none" w:sz="0" w:space="0" w:color="auto"/>
        <w:left w:val="none" w:sz="0" w:space="0" w:color="auto"/>
        <w:bottom w:val="none" w:sz="0" w:space="0" w:color="auto"/>
        <w:right w:val="none" w:sz="0" w:space="0" w:color="auto"/>
      </w:divBdr>
    </w:div>
    <w:div w:id="1498108224">
      <w:bodyDiv w:val="1"/>
      <w:marLeft w:val="0"/>
      <w:marRight w:val="0"/>
      <w:marTop w:val="0"/>
      <w:marBottom w:val="0"/>
      <w:divBdr>
        <w:top w:val="none" w:sz="0" w:space="0" w:color="auto"/>
        <w:left w:val="none" w:sz="0" w:space="0" w:color="auto"/>
        <w:bottom w:val="none" w:sz="0" w:space="0" w:color="auto"/>
        <w:right w:val="none" w:sz="0" w:space="0" w:color="auto"/>
      </w:divBdr>
    </w:div>
    <w:div w:id="1517159629">
      <w:bodyDiv w:val="1"/>
      <w:marLeft w:val="0"/>
      <w:marRight w:val="0"/>
      <w:marTop w:val="0"/>
      <w:marBottom w:val="0"/>
      <w:divBdr>
        <w:top w:val="none" w:sz="0" w:space="0" w:color="auto"/>
        <w:left w:val="none" w:sz="0" w:space="0" w:color="auto"/>
        <w:bottom w:val="none" w:sz="0" w:space="0" w:color="auto"/>
        <w:right w:val="none" w:sz="0" w:space="0" w:color="auto"/>
      </w:divBdr>
      <w:divsChild>
        <w:div w:id="711270146">
          <w:marLeft w:val="446"/>
          <w:marRight w:val="0"/>
          <w:marTop w:val="0"/>
          <w:marBottom w:val="0"/>
          <w:divBdr>
            <w:top w:val="none" w:sz="0" w:space="0" w:color="auto"/>
            <w:left w:val="none" w:sz="0" w:space="0" w:color="auto"/>
            <w:bottom w:val="none" w:sz="0" w:space="0" w:color="auto"/>
            <w:right w:val="none" w:sz="0" w:space="0" w:color="auto"/>
          </w:divBdr>
        </w:div>
        <w:div w:id="335613345">
          <w:marLeft w:val="446"/>
          <w:marRight w:val="0"/>
          <w:marTop w:val="0"/>
          <w:marBottom w:val="0"/>
          <w:divBdr>
            <w:top w:val="none" w:sz="0" w:space="0" w:color="auto"/>
            <w:left w:val="none" w:sz="0" w:space="0" w:color="auto"/>
            <w:bottom w:val="none" w:sz="0" w:space="0" w:color="auto"/>
            <w:right w:val="none" w:sz="0" w:space="0" w:color="auto"/>
          </w:divBdr>
        </w:div>
        <w:div w:id="1431782648">
          <w:marLeft w:val="446"/>
          <w:marRight w:val="0"/>
          <w:marTop w:val="0"/>
          <w:marBottom w:val="0"/>
          <w:divBdr>
            <w:top w:val="none" w:sz="0" w:space="0" w:color="auto"/>
            <w:left w:val="none" w:sz="0" w:space="0" w:color="auto"/>
            <w:bottom w:val="none" w:sz="0" w:space="0" w:color="auto"/>
            <w:right w:val="none" w:sz="0" w:space="0" w:color="auto"/>
          </w:divBdr>
        </w:div>
        <w:div w:id="863254488">
          <w:marLeft w:val="446"/>
          <w:marRight w:val="0"/>
          <w:marTop w:val="0"/>
          <w:marBottom w:val="0"/>
          <w:divBdr>
            <w:top w:val="none" w:sz="0" w:space="0" w:color="auto"/>
            <w:left w:val="none" w:sz="0" w:space="0" w:color="auto"/>
            <w:bottom w:val="none" w:sz="0" w:space="0" w:color="auto"/>
            <w:right w:val="none" w:sz="0" w:space="0" w:color="auto"/>
          </w:divBdr>
        </w:div>
        <w:div w:id="473374819">
          <w:marLeft w:val="446"/>
          <w:marRight w:val="0"/>
          <w:marTop w:val="0"/>
          <w:marBottom w:val="0"/>
          <w:divBdr>
            <w:top w:val="none" w:sz="0" w:space="0" w:color="auto"/>
            <w:left w:val="none" w:sz="0" w:space="0" w:color="auto"/>
            <w:bottom w:val="none" w:sz="0" w:space="0" w:color="auto"/>
            <w:right w:val="none" w:sz="0" w:space="0" w:color="auto"/>
          </w:divBdr>
        </w:div>
        <w:div w:id="1870295213">
          <w:marLeft w:val="446"/>
          <w:marRight w:val="0"/>
          <w:marTop w:val="0"/>
          <w:marBottom w:val="0"/>
          <w:divBdr>
            <w:top w:val="none" w:sz="0" w:space="0" w:color="auto"/>
            <w:left w:val="none" w:sz="0" w:space="0" w:color="auto"/>
            <w:bottom w:val="none" w:sz="0" w:space="0" w:color="auto"/>
            <w:right w:val="none" w:sz="0" w:space="0" w:color="auto"/>
          </w:divBdr>
        </w:div>
        <w:div w:id="1204513167">
          <w:marLeft w:val="446"/>
          <w:marRight w:val="0"/>
          <w:marTop w:val="0"/>
          <w:marBottom w:val="0"/>
          <w:divBdr>
            <w:top w:val="none" w:sz="0" w:space="0" w:color="auto"/>
            <w:left w:val="none" w:sz="0" w:space="0" w:color="auto"/>
            <w:bottom w:val="none" w:sz="0" w:space="0" w:color="auto"/>
            <w:right w:val="none" w:sz="0" w:space="0" w:color="auto"/>
          </w:divBdr>
        </w:div>
        <w:div w:id="217714841">
          <w:marLeft w:val="446"/>
          <w:marRight w:val="0"/>
          <w:marTop w:val="0"/>
          <w:marBottom w:val="0"/>
          <w:divBdr>
            <w:top w:val="none" w:sz="0" w:space="0" w:color="auto"/>
            <w:left w:val="none" w:sz="0" w:space="0" w:color="auto"/>
            <w:bottom w:val="none" w:sz="0" w:space="0" w:color="auto"/>
            <w:right w:val="none" w:sz="0" w:space="0" w:color="auto"/>
          </w:divBdr>
        </w:div>
      </w:divsChild>
    </w:div>
    <w:div w:id="1595698973">
      <w:bodyDiv w:val="1"/>
      <w:marLeft w:val="0"/>
      <w:marRight w:val="0"/>
      <w:marTop w:val="0"/>
      <w:marBottom w:val="0"/>
      <w:divBdr>
        <w:top w:val="none" w:sz="0" w:space="0" w:color="auto"/>
        <w:left w:val="none" w:sz="0" w:space="0" w:color="auto"/>
        <w:bottom w:val="none" w:sz="0" w:space="0" w:color="auto"/>
        <w:right w:val="none" w:sz="0" w:space="0" w:color="auto"/>
      </w:divBdr>
    </w:div>
    <w:div w:id="1622029750">
      <w:bodyDiv w:val="1"/>
      <w:marLeft w:val="0"/>
      <w:marRight w:val="0"/>
      <w:marTop w:val="0"/>
      <w:marBottom w:val="0"/>
      <w:divBdr>
        <w:top w:val="none" w:sz="0" w:space="0" w:color="auto"/>
        <w:left w:val="none" w:sz="0" w:space="0" w:color="auto"/>
        <w:bottom w:val="none" w:sz="0" w:space="0" w:color="auto"/>
        <w:right w:val="none" w:sz="0" w:space="0" w:color="auto"/>
      </w:divBdr>
    </w:div>
    <w:div w:id="1661352964">
      <w:bodyDiv w:val="1"/>
      <w:marLeft w:val="0"/>
      <w:marRight w:val="0"/>
      <w:marTop w:val="0"/>
      <w:marBottom w:val="0"/>
      <w:divBdr>
        <w:top w:val="none" w:sz="0" w:space="0" w:color="auto"/>
        <w:left w:val="none" w:sz="0" w:space="0" w:color="auto"/>
        <w:bottom w:val="none" w:sz="0" w:space="0" w:color="auto"/>
        <w:right w:val="none" w:sz="0" w:space="0" w:color="auto"/>
      </w:divBdr>
    </w:div>
    <w:div w:id="1896773221">
      <w:bodyDiv w:val="1"/>
      <w:marLeft w:val="0"/>
      <w:marRight w:val="0"/>
      <w:marTop w:val="0"/>
      <w:marBottom w:val="0"/>
      <w:divBdr>
        <w:top w:val="none" w:sz="0" w:space="0" w:color="auto"/>
        <w:left w:val="none" w:sz="0" w:space="0" w:color="auto"/>
        <w:bottom w:val="none" w:sz="0" w:space="0" w:color="auto"/>
        <w:right w:val="none" w:sz="0" w:space="0" w:color="auto"/>
      </w:divBdr>
    </w:div>
    <w:div w:id="1905336727">
      <w:bodyDiv w:val="1"/>
      <w:marLeft w:val="0"/>
      <w:marRight w:val="0"/>
      <w:marTop w:val="0"/>
      <w:marBottom w:val="0"/>
      <w:divBdr>
        <w:top w:val="none" w:sz="0" w:space="0" w:color="auto"/>
        <w:left w:val="none" w:sz="0" w:space="0" w:color="auto"/>
        <w:bottom w:val="none" w:sz="0" w:space="0" w:color="auto"/>
        <w:right w:val="none" w:sz="0" w:space="0" w:color="auto"/>
      </w:divBdr>
    </w:div>
    <w:div w:id="19680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u="none" strike="noStrike" baseline="0">
                <a:effectLst/>
                <a:latin typeface="Arial" panose="020B0604020202020204" pitchFamily="34" charset="0"/>
                <a:cs typeface="Arial" panose="020B0604020202020204" pitchFamily="34" charset="0"/>
              </a:rPr>
              <a:t>2. Relative likelihood of staff being shortlisted &amp; appointed across all posts</a:t>
            </a:r>
            <a:endParaRPr lang="en-GB" sz="1200">
              <a:latin typeface="Arial" panose="020B0604020202020204" pitchFamily="34" charset="0"/>
              <a:cs typeface="Arial" panose="020B0604020202020204" pitchFamily="34" charset="0"/>
            </a:endParaRPr>
          </a:p>
        </c:rich>
      </c:tx>
      <c:layout>
        <c:manualLayout>
          <c:xMode val="edge"/>
          <c:yMode val="edge"/>
          <c:x val="0.10198600174978127"/>
          <c:y val="2.78422273781902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Sheet2!$B$1:$B$2</c:f>
              <c:strCache>
                <c:ptCount val="2"/>
                <c:pt idx="0">
                  <c:v>White</c:v>
                </c:pt>
                <c:pt idx="1">
                  <c:v>2023</c:v>
                </c:pt>
              </c:strCache>
            </c:strRef>
          </c:tx>
          <c:spPr>
            <a:solidFill>
              <a:schemeClr val="accent1"/>
            </a:solidFill>
            <a:ln>
              <a:noFill/>
            </a:ln>
            <a:effectLst/>
          </c:spPr>
          <c:invertIfNegative val="0"/>
          <c:cat>
            <c:strRef>
              <c:f>Sheet2!$A$3:$A$5</c:f>
              <c:strCache>
                <c:ptCount val="3"/>
                <c:pt idx="0">
                  <c:v>Number of shortlisted applicants</c:v>
                </c:pt>
                <c:pt idx="1">
                  <c:v>Number appointed from shortlisting</c:v>
                </c:pt>
                <c:pt idx="2">
                  <c:v>Relative likelihood of appointments from shortlisting</c:v>
                </c:pt>
              </c:strCache>
            </c:strRef>
          </c:cat>
          <c:val>
            <c:numRef>
              <c:f>Sheet2!$B$3:$B$5</c:f>
              <c:numCache>
                <c:formatCode>General</c:formatCode>
                <c:ptCount val="3"/>
                <c:pt idx="0">
                  <c:v>69</c:v>
                </c:pt>
                <c:pt idx="1">
                  <c:v>21</c:v>
                </c:pt>
                <c:pt idx="2" formatCode="0.00%">
                  <c:v>0.30430000000000001</c:v>
                </c:pt>
              </c:numCache>
            </c:numRef>
          </c:val>
          <c:extLst>
            <c:ext xmlns:c16="http://schemas.microsoft.com/office/drawing/2014/chart" uri="{C3380CC4-5D6E-409C-BE32-E72D297353CC}">
              <c16:uniqueId val="{00000000-868C-41AC-BF54-CC851E490162}"/>
            </c:ext>
          </c:extLst>
        </c:ser>
        <c:ser>
          <c:idx val="1"/>
          <c:order val="1"/>
          <c:tx>
            <c:strRef>
              <c:f>Sheet2!$C$1:$C$2</c:f>
              <c:strCache>
                <c:ptCount val="2"/>
                <c:pt idx="0">
                  <c:v>BME</c:v>
                </c:pt>
                <c:pt idx="1">
                  <c:v>2023</c:v>
                </c:pt>
              </c:strCache>
            </c:strRef>
          </c:tx>
          <c:spPr>
            <a:solidFill>
              <a:schemeClr val="accent2"/>
            </a:solidFill>
            <a:ln>
              <a:noFill/>
            </a:ln>
            <a:effectLst/>
          </c:spPr>
          <c:invertIfNegative val="0"/>
          <c:cat>
            <c:strRef>
              <c:f>Sheet2!$A$3:$A$5</c:f>
              <c:strCache>
                <c:ptCount val="3"/>
                <c:pt idx="0">
                  <c:v>Number of shortlisted applicants</c:v>
                </c:pt>
                <c:pt idx="1">
                  <c:v>Number appointed from shortlisting</c:v>
                </c:pt>
                <c:pt idx="2">
                  <c:v>Relative likelihood of appointments from shortlisting</c:v>
                </c:pt>
              </c:strCache>
            </c:strRef>
          </c:cat>
          <c:val>
            <c:numRef>
              <c:f>Sheet2!$C$3:$C$5</c:f>
              <c:numCache>
                <c:formatCode>General</c:formatCode>
                <c:ptCount val="3"/>
                <c:pt idx="0">
                  <c:v>83</c:v>
                </c:pt>
                <c:pt idx="1">
                  <c:v>15</c:v>
                </c:pt>
                <c:pt idx="2" formatCode="0.00%">
                  <c:v>0.1807</c:v>
                </c:pt>
              </c:numCache>
            </c:numRef>
          </c:val>
          <c:extLst>
            <c:ext xmlns:c16="http://schemas.microsoft.com/office/drawing/2014/chart" uri="{C3380CC4-5D6E-409C-BE32-E72D297353CC}">
              <c16:uniqueId val="{00000001-868C-41AC-BF54-CC851E490162}"/>
            </c:ext>
          </c:extLst>
        </c:ser>
        <c:ser>
          <c:idx val="2"/>
          <c:order val="2"/>
          <c:tx>
            <c:strRef>
              <c:f>Sheet2!$D$1:$D$2</c:f>
              <c:strCache>
                <c:ptCount val="2"/>
                <c:pt idx="0">
                  <c:v>Unknown</c:v>
                </c:pt>
                <c:pt idx="1">
                  <c:v>2023</c:v>
                </c:pt>
              </c:strCache>
            </c:strRef>
          </c:tx>
          <c:spPr>
            <a:solidFill>
              <a:schemeClr val="accent3"/>
            </a:solidFill>
            <a:ln>
              <a:noFill/>
            </a:ln>
            <a:effectLst/>
          </c:spPr>
          <c:invertIfNegative val="0"/>
          <c:cat>
            <c:strRef>
              <c:f>Sheet2!$A$3:$A$5</c:f>
              <c:strCache>
                <c:ptCount val="3"/>
                <c:pt idx="0">
                  <c:v>Number of shortlisted applicants</c:v>
                </c:pt>
                <c:pt idx="1">
                  <c:v>Number appointed from shortlisting</c:v>
                </c:pt>
                <c:pt idx="2">
                  <c:v>Relative likelihood of appointments from shortlisting</c:v>
                </c:pt>
              </c:strCache>
            </c:strRef>
          </c:cat>
          <c:val>
            <c:numRef>
              <c:f>Sheet2!$D$3:$D$5</c:f>
              <c:numCache>
                <c:formatCode>General</c:formatCode>
                <c:ptCount val="3"/>
                <c:pt idx="0">
                  <c:v>16</c:v>
                </c:pt>
                <c:pt idx="1">
                  <c:v>7</c:v>
                </c:pt>
                <c:pt idx="2" formatCode="0.00%">
                  <c:v>0.4375</c:v>
                </c:pt>
              </c:numCache>
            </c:numRef>
          </c:val>
          <c:extLst>
            <c:ext xmlns:c16="http://schemas.microsoft.com/office/drawing/2014/chart" uri="{C3380CC4-5D6E-409C-BE32-E72D297353CC}">
              <c16:uniqueId val="{00000002-868C-41AC-BF54-CC851E490162}"/>
            </c:ext>
          </c:extLst>
        </c:ser>
        <c:dLbls>
          <c:showLegendKey val="0"/>
          <c:showVal val="0"/>
          <c:showCatName val="0"/>
          <c:showSerName val="0"/>
          <c:showPercent val="0"/>
          <c:showBubbleSize val="0"/>
        </c:dLbls>
        <c:gapWidth val="150"/>
        <c:overlap val="100"/>
        <c:axId val="447168464"/>
        <c:axId val="447171704"/>
      </c:barChart>
      <c:catAx>
        <c:axId val="44716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71704"/>
        <c:crosses val="autoZero"/>
        <c:auto val="1"/>
        <c:lblAlgn val="ctr"/>
        <c:lblOffset val="100"/>
        <c:noMultiLvlLbl val="0"/>
      </c:catAx>
      <c:valAx>
        <c:axId val="447171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6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Difference between boards voting membership and population/workforce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Sheet3!$B$1:$B$2</c:f>
              <c:strCache>
                <c:ptCount val="2"/>
                <c:pt idx="0">
                  <c:v>White</c:v>
                </c:pt>
                <c:pt idx="1">
                  <c:v>2023</c:v>
                </c:pt>
              </c:strCache>
            </c:strRef>
          </c:tx>
          <c:spPr>
            <a:solidFill>
              <a:schemeClr val="accent1"/>
            </a:solidFill>
            <a:ln>
              <a:noFill/>
            </a:ln>
            <a:effectLst/>
          </c:spPr>
          <c:invertIfNegative val="0"/>
          <c:cat>
            <c:strRef>
              <c:f>Sheet3!$A$3:$A$6</c:f>
              <c:strCache>
                <c:ptCount val="4"/>
                <c:pt idx="0">
                  <c:v>LLR ICB area population*</c:v>
                </c:pt>
                <c:pt idx="1">
                  <c:v>Voting Board members</c:v>
                </c:pt>
                <c:pt idx="2">
                  <c:v>Of which, Exec Board members</c:v>
                </c:pt>
                <c:pt idx="3">
                  <c:v>Non Executive</c:v>
                </c:pt>
              </c:strCache>
            </c:strRef>
          </c:cat>
          <c:val>
            <c:numRef>
              <c:f>Sheet3!$B$3:$B$6</c:f>
              <c:numCache>
                <c:formatCode>0.00%</c:formatCode>
                <c:ptCount val="4"/>
                <c:pt idx="0">
                  <c:v>0.72499999999999998</c:v>
                </c:pt>
                <c:pt idx="1">
                  <c:v>0.41199999999999998</c:v>
                </c:pt>
                <c:pt idx="2" formatCode="0%">
                  <c:v>0.6</c:v>
                </c:pt>
                <c:pt idx="3">
                  <c:v>0.33300000000000002</c:v>
                </c:pt>
              </c:numCache>
            </c:numRef>
          </c:val>
          <c:extLst>
            <c:ext xmlns:c16="http://schemas.microsoft.com/office/drawing/2014/chart" uri="{C3380CC4-5D6E-409C-BE32-E72D297353CC}">
              <c16:uniqueId val="{00000000-51FE-468D-BE41-9E0D25A2F277}"/>
            </c:ext>
          </c:extLst>
        </c:ser>
        <c:ser>
          <c:idx val="1"/>
          <c:order val="1"/>
          <c:tx>
            <c:strRef>
              <c:f>Sheet3!$C$1:$C$2</c:f>
              <c:strCache>
                <c:ptCount val="2"/>
                <c:pt idx="0">
                  <c:v>BME</c:v>
                </c:pt>
                <c:pt idx="1">
                  <c:v>2023</c:v>
                </c:pt>
              </c:strCache>
            </c:strRef>
          </c:tx>
          <c:spPr>
            <a:solidFill>
              <a:schemeClr val="accent2"/>
            </a:solidFill>
            <a:ln>
              <a:noFill/>
            </a:ln>
            <a:effectLst/>
          </c:spPr>
          <c:invertIfNegative val="0"/>
          <c:cat>
            <c:strRef>
              <c:f>Sheet3!$A$3:$A$6</c:f>
              <c:strCache>
                <c:ptCount val="4"/>
                <c:pt idx="0">
                  <c:v>LLR ICB area population*</c:v>
                </c:pt>
                <c:pt idx="1">
                  <c:v>Voting Board members</c:v>
                </c:pt>
                <c:pt idx="2">
                  <c:v>Of which, Exec Board members</c:v>
                </c:pt>
                <c:pt idx="3">
                  <c:v>Non Executive</c:v>
                </c:pt>
              </c:strCache>
            </c:strRef>
          </c:cat>
          <c:val>
            <c:numRef>
              <c:f>Sheet3!$C$3:$C$6</c:f>
              <c:numCache>
                <c:formatCode>0.00%</c:formatCode>
                <c:ptCount val="4"/>
                <c:pt idx="0">
                  <c:v>0.23300000000000001</c:v>
                </c:pt>
                <c:pt idx="1">
                  <c:v>5.8999999999999997E-2</c:v>
                </c:pt>
                <c:pt idx="2" formatCode="General">
                  <c:v>0</c:v>
                </c:pt>
                <c:pt idx="3">
                  <c:v>8.3000000000000004E-2</c:v>
                </c:pt>
              </c:numCache>
            </c:numRef>
          </c:val>
          <c:extLst>
            <c:ext xmlns:c16="http://schemas.microsoft.com/office/drawing/2014/chart" uri="{C3380CC4-5D6E-409C-BE32-E72D297353CC}">
              <c16:uniqueId val="{00000001-51FE-468D-BE41-9E0D25A2F277}"/>
            </c:ext>
          </c:extLst>
        </c:ser>
        <c:ser>
          <c:idx val="2"/>
          <c:order val="2"/>
          <c:tx>
            <c:strRef>
              <c:f>Sheet3!$D$1:$D$2</c:f>
              <c:strCache>
                <c:ptCount val="2"/>
                <c:pt idx="0">
                  <c:v>Unknown</c:v>
                </c:pt>
                <c:pt idx="1">
                  <c:v>2023</c:v>
                </c:pt>
              </c:strCache>
            </c:strRef>
          </c:tx>
          <c:spPr>
            <a:solidFill>
              <a:schemeClr val="accent3"/>
            </a:solidFill>
            <a:ln>
              <a:noFill/>
            </a:ln>
            <a:effectLst/>
          </c:spPr>
          <c:invertIfNegative val="0"/>
          <c:cat>
            <c:strRef>
              <c:f>Sheet3!$A$3:$A$6</c:f>
              <c:strCache>
                <c:ptCount val="4"/>
                <c:pt idx="0">
                  <c:v>LLR ICB area population*</c:v>
                </c:pt>
                <c:pt idx="1">
                  <c:v>Voting Board members</c:v>
                </c:pt>
                <c:pt idx="2">
                  <c:v>Of which, Exec Board members</c:v>
                </c:pt>
                <c:pt idx="3">
                  <c:v>Non Executive</c:v>
                </c:pt>
              </c:strCache>
            </c:strRef>
          </c:cat>
          <c:val>
            <c:numRef>
              <c:f>Sheet3!$D$3:$D$6</c:f>
              <c:numCache>
                <c:formatCode>0.00%</c:formatCode>
                <c:ptCount val="4"/>
                <c:pt idx="0">
                  <c:v>4.2000000000000003E-2</c:v>
                </c:pt>
                <c:pt idx="1">
                  <c:v>0.52900000000000003</c:v>
                </c:pt>
                <c:pt idx="2" formatCode="0%">
                  <c:v>0.4</c:v>
                </c:pt>
                <c:pt idx="3">
                  <c:v>0.58299999999999996</c:v>
                </c:pt>
              </c:numCache>
            </c:numRef>
          </c:val>
          <c:extLst>
            <c:ext xmlns:c16="http://schemas.microsoft.com/office/drawing/2014/chart" uri="{C3380CC4-5D6E-409C-BE32-E72D297353CC}">
              <c16:uniqueId val="{00000002-51FE-468D-BE41-9E0D25A2F277}"/>
            </c:ext>
          </c:extLst>
        </c:ser>
        <c:dLbls>
          <c:showLegendKey val="0"/>
          <c:showVal val="0"/>
          <c:showCatName val="0"/>
          <c:showSerName val="0"/>
          <c:showPercent val="0"/>
          <c:showBubbleSize val="0"/>
        </c:dLbls>
        <c:gapWidth val="219"/>
        <c:overlap val="-27"/>
        <c:axId val="479682776"/>
        <c:axId val="609839720"/>
      </c:barChart>
      <c:catAx>
        <c:axId val="47968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9839720"/>
        <c:crosses val="autoZero"/>
        <c:auto val="1"/>
        <c:lblAlgn val="ctr"/>
        <c:lblOffset val="100"/>
        <c:noMultiLvlLbl val="0"/>
      </c:catAx>
      <c:valAx>
        <c:axId val="609839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682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f850102-97b4-4ee4-8798-6e31d3d2af02"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d5106079-c381-4d39-a139-6d90e6c6e3ec">O365CORP-625680747-35228</_dlc_DocId>
    <_dlc_DocIdUrl xmlns="d5106079-c381-4d39-a139-6d90e6c6e3ec">
      <Url>https://csucloudservices.sharepoint.com/teams/corporate_affairs/equal/_layouts/15/DocIdRedir.aspx?ID=O365CORP-625680747-35228</Url>
      <Description>O365CORP-625680747-35228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06071912E88141B910A1CE038B0EC9" ma:contentTypeVersion="472" ma:contentTypeDescription="Create a new document." ma:contentTypeScope="" ma:versionID="3224c92cb999196d3788faa2c927a09a">
  <xsd:schema xmlns:xsd="http://www.w3.org/2001/XMLSchema" xmlns:xs="http://www.w3.org/2001/XMLSchema" xmlns:p="http://schemas.microsoft.com/office/2006/metadata/properties" xmlns:ns1="http://schemas.microsoft.com/sharepoint/v3" xmlns:ns2="d5106079-c381-4d39-a139-6d90e6c6e3ec" xmlns:ns3="df850102-97b4-4ee4-8798-6e31d3d2af02" targetNamespace="http://schemas.microsoft.com/office/2006/metadata/properties" ma:root="true" ma:fieldsID="442b0ab71714270d1399819cb29e6c42" ns1:_="" ns2:_="" ns3:_="">
    <xsd:import namespace="http://schemas.microsoft.com/sharepoint/v3"/>
    <xsd:import namespace="d5106079-c381-4d39-a139-6d90e6c6e3ec"/>
    <xsd:import namespace="df850102-97b4-4ee4-8798-6e31d3d2af0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3:Categor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06079-c381-4d39-a139-6d90e6c6e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50102-97b4-4ee4-8798-6e31d3d2af02" elementFormDefault="qualified">
    <xsd:import namespace="http://schemas.microsoft.com/office/2006/documentManagement/types"/>
    <xsd:import namespace="http://schemas.microsoft.com/office/infopath/2007/PartnerControls"/>
    <xsd:element name="Category" ma:index="17" nillable="true" ma:displayName="Category" ma:description="Please select a category for this document. Documents can then be grouped, filtered and sorted by this category." ma:format="Dropdown" ma:internalName="Category">
      <xsd:simpleType>
        <xsd:restriction base="dms:Choice">
          <xsd:enumeration value="Equality Impact &amp; Risk Assessment"/>
          <xsd:enumeration value="Equality Delivery System"/>
          <xsd:enumeration value="Workforce Race Equality Standard"/>
          <xsd:enumeration value="Annual Report"/>
          <xsd:enumeration value="Commissioning activity"/>
          <xsd:enumeration value="Equality Act"/>
          <xsd:enumeration value="Public Sector Equality Duty"/>
          <xsd:enumeration value="Human Rights Act"/>
          <xsd:enumeration value="Learning and Development"/>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6B65B-A462-4CDB-9B7E-6D286F78BD04}">
  <ds:schemaRefs>
    <ds:schemaRef ds:uri="http://schemas.microsoft.com/sharepoint/events"/>
  </ds:schemaRefs>
</ds:datastoreItem>
</file>

<file path=customXml/itemProps2.xml><?xml version="1.0" encoding="utf-8"?>
<ds:datastoreItem xmlns:ds="http://schemas.openxmlformats.org/officeDocument/2006/customXml" ds:itemID="{B035E750-4EBA-472A-8C7D-30ED8371B355}">
  <ds:schemaRefs>
    <ds:schemaRef ds:uri="http://schemas.openxmlformats.org/officeDocument/2006/bibliography"/>
  </ds:schemaRefs>
</ds:datastoreItem>
</file>

<file path=customXml/itemProps3.xml><?xml version="1.0" encoding="utf-8"?>
<ds:datastoreItem xmlns:ds="http://schemas.openxmlformats.org/officeDocument/2006/customXml" ds:itemID="{F5B213D0-414C-41BC-931B-B0ACE24AED8C}">
  <ds:schemaRefs>
    <ds:schemaRef ds:uri="http://schemas.microsoft.com/sharepoint/v3/contenttype/forms"/>
  </ds:schemaRefs>
</ds:datastoreItem>
</file>

<file path=customXml/itemProps4.xml><?xml version="1.0" encoding="utf-8"?>
<ds:datastoreItem xmlns:ds="http://schemas.openxmlformats.org/officeDocument/2006/customXml" ds:itemID="{6E1156B5-BD41-49AB-B5BA-8A5BC83B37D7}">
  <ds:schemaRefs>
    <ds:schemaRef ds:uri="http://schemas.microsoft.com/office/2006/metadata/properties"/>
    <ds:schemaRef ds:uri="http://schemas.microsoft.com/office/infopath/2007/PartnerControls"/>
    <ds:schemaRef ds:uri="df850102-97b4-4ee4-8798-6e31d3d2af02"/>
    <ds:schemaRef ds:uri="http://schemas.microsoft.com/sharepoint/v3"/>
    <ds:schemaRef ds:uri="d5106079-c381-4d39-a139-6d90e6c6e3ec"/>
  </ds:schemaRefs>
</ds:datastoreItem>
</file>

<file path=customXml/itemProps5.xml><?xml version="1.0" encoding="utf-8"?>
<ds:datastoreItem xmlns:ds="http://schemas.openxmlformats.org/officeDocument/2006/customXml" ds:itemID="{BB5E423B-3F7B-4175-AE26-B5674B24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06079-c381-4d39-a139-6d90e6c6e3ec"/>
    <ds:schemaRef ds:uri="df850102-97b4-4ee4-8798-6e31d3d2a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Grizzell Jo</dc:creator>
  <cp:lastModifiedBy>Shaun Cropper (MLCSU)</cp:lastModifiedBy>
  <cp:revision>5</cp:revision>
  <cp:lastPrinted>2021-08-03T09:30:00Z</cp:lastPrinted>
  <dcterms:created xsi:type="dcterms:W3CDTF">2023-12-14T12:04:00Z</dcterms:created>
  <dcterms:modified xsi:type="dcterms:W3CDTF">2024-01-10T13:15:00Z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0x0101000906071912E88141B910A1CE038B0EC9</vt:lpwstr>
  </property>
  <property fmtid="{D5CDD505-2E9C-101B-9397-08002B2CF9AE}" pid="3" name="_dlc_DocIdItemGuid">
    <vt:lpwstr>2da87b54-d7bd-4bc4-b0dc-de7af291f81d</vt:lpwstr>
  </property>
</Properties>
</file>