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ED26" w14:textId="7E7CDF96" w:rsidR="002350E8" w:rsidRPr="00D50F0C" w:rsidRDefault="002350E8" w:rsidP="002350E8">
      <w:pPr>
        <w:jc w:val="center"/>
        <w:rPr>
          <w:b/>
          <w:bCs/>
          <w:sz w:val="28"/>
          <w:szCs w:val="28"/>
        </w:rPr>
      </w:pPr>
      <w:r w:rsidRPr="00D50F0C">
        <w:rPr>
          <w:b/>
          <w:bCs/>
          <w:sz w:val="28"/>
          <w:szCs w:val="28"/>
        </w:rPr>
        <w:t>LLR ICB</w:t>
      </w:r>
    </w:p>
    <w:p w14:paraId="2CD41B6B" w14:textId="77777777" w:rsidR="002350E8" w:rsidRPr="00D50F0C" w:rsidRDefault="002350E8" w:rsidP="002350E8">
      <w:pPr>
        <w:jc w:val="center"/>
        <w:rPr>
          <w:b/>
          <w:bCs/>
          <w:sz w:val="28"/>
          <w:szCs w:val="28"/>
        </w:rPr>
      </w:pPr>
    </w:p>
    <w:p w14:paraId="73592EA4" w14:textId="216CA28F" w:rsidR="002D4E8A" w:rsidRPr="00D50F0C" w:rsidRDefault="002350E8" w:rsidP="002350E8">
      <w:pPr>
        <w:jc w:val="center"/>
        <w:rPr>
          <w:b/>
          <w:bCs/>
          <w:sz w:val="28"/>
          <w:szCs w:val="28"/>
        </w:rPr>
      </w:pPr>
      <w:r w:rsidRPr="00D50F0C">
        <w:rPr>
          <w:b/>
          <w:bCs/>
          <w:sz w:val="28"/>
          <w:szCs w:val="28"/>
        </w:rPr>
        <w:t xml:space="preserve">Gender Pay Gap </w:t>
      </w:r>
      <w:r w:rsidR="008307EF">
        <w:rPr>
          <w:b/>
          <w:bCs/>
          <w:sz w:val="28"/>
          <w:szCs w:val="28"/>
        </w:rPr>
        <w:t xml:space="preserve">Report </w:t>
      </w:r>
      <w:r w:rsidR="003E62E1">
        <w:rPr>
          <w:b/>
          <w:bCs/>
          <w:sz w:val="28"/>
          <w:szCs w:val="28"/>
        </w:rPr>
        <w:t xml:space="preserve">2023 - </w:t>
      </w:r>
      <w:r w:rsidR="002D4E8A">
        <w:rPr>
          <w:b/>
          <w:bCs/>
          <w:sz w:val="28"/>
          <w:szCs w:val="28"/>
        </w:rPr>
        <w:t>2024</w:t>
      </w:r>
    </w:p>
    <w:p w14:paraId="1E86F3F6" w14:textId="5CAE525C" w:rsidR="002350E8" w:rsidRPr="002914AF" w:rsidRDefault="00047463" w:rsidP="002350E8">
      <w:pPr>
        <w:jc w:val="center"/>
        <w:rPr>
          <w:b/>
          <w:bCs/>
        </w:rPr>
      </w:pPr>
      <w:r w:rsidRPr="002914AF">
        <w:rPr>
          <w:b/>
          <w:bCs/>
        </w:rPr>
        <w:t>Baseline data (snapshot) 31</w:t>
      </w:r>
      <w:r w:rsidRPr="002914AF">
        <w:rPr>
          <w:b/>
          <w:bCs/>
          <w:vertAlign w:val="superscript"/>
        </w:rPr>
        <w:t>st</w:t>
      </w:r>
      <w:r w:rsidRPr="002914AF">
        <w:rPr>
          <w:b/>
          <w:bCs/>
        </w:rPr>
        <w:t xml:space="preserve"> March 2023</w:t>
      </w:r>
    </w:p>
    <w:p w14:paraId="78579CF1" w14:textId="77777777" w:rsidR="002350E8" w:rsidRPr="00DA6A1F" w:rsidRDefault="002350E8" w:rsidP="003C6E1F">
      <w:pPr>
        <w:autoSpaceDE w:val="0"/>
        <w:autoSpaceDN w:val="0"/>
        <w:adjustRightInd w:val="0"/>
        <w:spacing w:after="0" w:line="240" w:lineRule="auto"/>
        <w:jc w:val="both"/>
      </w:pPr>
      <w:r w:rsidRPr="00DA6A1F">
        <w:t>Since 31 March 2017, all public sector organisations in England employing 250 or</w:t>
      </w:r>
    </w:p>
    <w:p w14:paraId="542CBD9D" w14:textId="77777777" w:rsidR="002350E8" w:rsidRPr="00DA6A1F" w:rsidRDefault="002350E8" w:rsidP="003C6E1F">
      <w:pPr>
        <w:autoSpaceDE w:val="0"/>
        <w:autoSpaceDN w:val="0"/>
        <w:adjustRightInd w:val="0"/>
        <w:spacing w:after="0" w:line="240" w:lineRule="auto"/>
        <w:jc w:val="both"/>
      </w:pPr>
      <w:r w:rsidRPr="00DA6A1F">
        <w:t>more staff have been required to publish annually their gender pay gap information.</w:t>
      </w:r>
    </w:p>
    <w:p w14:paraId="26BA9D6A" w14:textId="5B9E2312" w:rsidR="002350E8" w:rsidRPr="00DA6A1F" w:rsidRDefault="002350E8" w:rsidP="003C6E1F">
      <w:pPr>
        <w:autoSpaceDE w:val="0"/>
        <w:autoSpaceDN w:val="0"/>
        <w:adjustRightInd w:val="0"/>
        <w:spacing w:after="0" w:line="240" w:lineRule="auto"/>
        <w:jc w:val="both"/>
      </w:pPr>
    </w:p>
    <w:p w14:paraId="52B3A3EA" w14:textId="674C925E" w:rsidR="002350E8" w:rsidRPr="00DA6A1F" w:rsidRDefault="002350E8" w:rsidP="003C6E1F">
      <w:pPr>
        <w:autoSpaceDE w:val="0"/>
        <w:autoSpaceDN w:val="0"/>
        <w:adjustRightInd w:val="0"/>
        <w:spacing w:after="0" w:line="240" w:lineRule="auto"/>
        <w:jc w:val="both"/>
      </w:pPr>
      <w:r w:rsidRPr="00DA6A1F">
        <w:t>Previously</w:t>
      </w:r>
      <w:r w:rsidR="00D611AB" w:rsidRPr="00DA6A1F">
        <w:t>,</w:t>
      </w:r>
      <w:r w:rsidRPr="00DA6A1F">
        <w:t xml:space="preserve"> Leicester </w:t>
      </w:r>
      <w:r w:rsidR="009A5616" w:rsidRPr="00DA6A1F">
        <w:t>C</w:t>
      </w:r>
      <w:r w:rsidRPr="00DA6A1F">
        <w:t xml:space="preserve">ity CCG, </w:t>
      </w:r>
      <w:r w:rsidR="009A5616" w:rsidRPr="00DA6A1F">
        <w:t xml:space="preserve">East Leicestershire &amp; Rutland CCG and West Leicestershire CCG were not required to report </w:t>
      </w:r>
      <w:r w:rsidR="00A745EA" w:rsidRPr="00DA6A1F">
        <w:t xml:space="preserve">this </w:t>
      </w:r>
      <w:r w:rsidR="00D611AB" w:rsidRPr="00DA6A1F">
        <w:t>information as</w:t>
      </w:r>
      <w:r w:rsidR="009A5616" w:rsidRPr="00DA6A1F">
        <w:t xml:space="preserve"> each organisation had less than 250 employees.</w:t>
      </w:r>
    </w:p>
    <w:p w14:paraId="23B4FD66" w14:textId="716A04D9" w:rsidR="009A5616" w:rsidRPr="00DA6A1F" w:rsidRDefault="009A5616" w:rsidP="003C6E1F">
      <w:pPr>
        <w:autoSpaceDE w:val="0"/>
        <w:autoSpaceDN w:val="0"/>
        <w:adjustRightInd w:val="0"/>
        <w:spacing w:after="0" w:line="240" w:lineRule="auto"/>
        <w:jc w:val="both"/>
      </w:pPr>
    </w:p>
    <w:p w14:paraId="0B48EE06" w14:textId="17B79915" w:rsidR="009A5616" w:rsidRDefault="00427722" w:rsidP="003C6E1F">
      <w:pPr>
        <w:autoSpaceDE w:val="0"/>
        <w:autoSpaceDN w:val="0"/>
        <w:adjustRightInd w:val="0"/>
        <w:spacing w:after="0" w:line="240" w:lineRule="auto"/>
        <w:jc w:val="both"/>
      </w:pPr>
      <w:r w:rsidRPr="00DA6A1F">
        <w:t>S</w:t>
      </w:r>
      <w:r w:rsidR="009A5616" w:rsidRPr="00DA6A1F">
        <w:t>ince the establishment of the LLR Integrated Care Board in July 2022</w:t>
      </w:r>
      <w:r w:rsidRPr="00DA6A1F">
        <w:t xml:space="preserve"> there is now a requirement to report on the gender pay gap as we are above</w:t>
      </w:r>
      <w:r w:rsidR="007F773C" w:rsidRPr="00DA6A1F">
        <w:t xml:space="preserve"> the </w:t>
      </w:r>
      <w:r w:rsidR="00844E65" w:rsidRPr="00DA6A1F">
        <w:t>250-employee</w:t>
      </w:r>
      <w:r w:rsidR="007F773C" w:rsidRPr="00DA6A1F">
        <w:t xml:space="preserve"> threshold</w:t>
      </w:r>
      <w:r w:rsidRPr="00DA6A1F">
        <w:t>.</w:t>
      </w:r>
      <w:r w:rsidR="009A5616" w:rsidRPr="00DA6A1F">
        <w:t xml:space="preserve"> </w:t>
      </w:r>
      <w:r w:rsidRPr="00DA6A1F">
        <w:t>T</w:t>
      </w:r>
      <w:r w:rsidR="009A5616" w:rsidRPr="00DA6A1F">
        <w:t>he Government</w:t>
      </w:r>
      <w:r w:rsidR="00B70B77">
        <w:t>’</w:t>
      </w:r>
      <w:r w:rsidR="00A745EA" w:rsidRPr="00DA6A1F">
        <w:t>s</w:t>
      </w:r>
      <w:r w:rsidR="009A5616" w:rsidRPr="00DA6A1F">
        <w:t xml:space="preserve"> Equalities </w:t>
      </w:r>
      <w:r w:rsidR="00A745EA" w:rsidRPr="00DA6A1F">
        <w:t>O</w:t>
      </w:r>
      <w:r w:rsidR="009A5616" w:rsidRPr="00DA6A1F">
        <w:t xml:space="preserve">ffice </w:t>
      </w:r>
      <w:r w:rsidR="00A745EA" w:rsidRPr="00DA6A1F">
        <w:t xml:space="preserve">has advised that </w:t>
      </w:r>
      <w:r w:rsidR="009A5616" w:rsidRPr="00DA6A1F">
        <w:t xml:space="preserve">the first </w:t>
      </w:r>
      <w:r w:rsidRPr="00DA6A1F">
        <w:t>d</w:t>
      </w:r>
      <w:r w:rsidR="00D611AB" w:rsidRPr="00DA6A1F">
        <w:t>ate for public reporting is April 2024</w:t>
      </w:r>
      <w:r w:rsidR="00A42446">
        <w:t xml:space="preserve">. This year the ICB needs to </w:t>
      </w:r>
      <w:r w:rsidR="00645C1C">
        <w:t xml:space="preserve">collect </w:t>
      </w:r>
      <w:r w:rsidR="00645C1C" w:rsidRPr="00DA6A1F">
        <w:t>baseline</w:t>
      </w:r>
      <w:r w:rsidR="00DC28BE" w:rsidRPr="00DA6A1F">
        <w:t xml:space="preserve"> </w:t>
      </w:r>
      <w:r w:rsidRPr="00DA6A1F">
        <w:t xml:space="preserve">data </w:t>
      </w:r>
      <w:r w:rsidR="00645C1C">
        <w:t xml:space="preserve">as of </w:t>
      </w:r>
      <w:r w:rsidR="009A5616" w:rsidRPr="00DA6A1F">
        <w:t>31</w:t>
      </w:r>
      <w:r w:rsidR="009A5616" w:rsidRPr="00DA6A1F">
        <w:rPr>
          <w:vertAlign w:val="superscript"/>
        </w:rPr>
        <w:t>st</w:t>
      </w:r>
      <w:r w:rsidR="009A5616" w:rsidRPr="00DA6A1F">
        <w:t xml:space="preserve"> March</w:t>
      </w:r>
      <w:r w:rsidR="00A745EA" w:rsidRPr="00DA6A1F">
        <w:t xml:space="preserve"> </w:t>
      </w:r>
      <w:r w:rsidRPr="00DA6A1F">
        <w:t>2023</w:t>
      </w:r>
      <w:r w:rsidR="00A42446">
        <w:t xml:space="preserve"> in readiness to publish in 2024.</w:t>
      </w:r>
      <w:r w:rsidRPr="00DA6A1F">
        <w:t xml:space="preserve"> </w:t>
      </w:r>
    </w:p>
    <w:p w14:paraId="0EC3F6C7" w14:textId="77777777" w:rsidR="00AF23C1" w:rsidRDefault="00AF23C1" w:rsidP="003C6E1F">
      <w:pPr>
        <w:autoSpaceDE w:val="0"/>
        <w:autoSpaceDN w:val="0"/>
        <w:adjustRightInd w:val="0"/>
        <w:spacing w:after="0" w:line="240" w:lineRule="auto"/>
        <w:jc w:val="both"/>
      </w:pPr>
    </w:p>
    <w:p w14:paraId="1CD329A6" w14:textId="77777777" w:rsidR="00AF23C1" w:rsidRPr="00AF23C1" w:rsidRDefault="00AF23C1" w:rsidP="003C6E1F">
      <w:pPr>
        <w:spacing w:after="100" w:afterAutospacing="1" w:line="240" w:lineRule="auto"/>
        <w:ind w:left="-6" w:right="335" w:hanging="11"/>
        <w:jc w:val="both"/>
        <w:rPr>
          <w:rFonts w:eastAsia="Calibri"/>
          <w:color w:val="000000"/>
          <w:lang w:eastAsia="en-GB"/>
        </w:rPr>
      </w:pPr>
      <w:r w:rsidRPr="00AF23C1">
        <w:rPr>
          <w:rFonts w:eastAsia="Calibri"/>
          <w:color w:val="000000"/>
          <w:lang w:eastAsia="en-GB"/>
        </w:rPr>
        <w:t xml:space="preserve">Gender </w:t>
      </w:r>
      <w:proofErr w:type="gramStart"/>
      <w:r w:rsidRPr="00AF23C1">
        <w:rPr>
          <w:rFonts w:eastAsia="Calibri"/>
          <w:color w:val="000000"/>
          <w:lang w:eastAsia="en-GB"/>
        </w:rPr>
        <w:t>pay</w:t>
      </w:r>
      <w:proofErr w:type="gramEnd"/>
      <w:r w:rsidRPr="00AF23C1">
        <w:rPr>
          <w:rFonts w:eastAsia="Calibri"/>
          <w:color w:val="000000"/>
          <w:lang w:eastAsia="en-GB"/>
        </w:rPr>
        <w:t xml:space="preserve"> reporting is different to equal pay. Equal pay deals with the pay differences between men and women who carry out the same jobs, similar </w:t>
      </w:r>
      <w:proofErr w:type="gramStart"/>
      <w:r w:rsidRPr="00AF23C1">
        <w:rPr>
          <w:rFonts w:eastAsia="Calibri"/>
          <w:color w:val="000000"/>
          <w:lang w:eastAsia="en-GB"/>
        </w:rPr>
        <w:t>jobs</w:t>
      </w:r>
      <w:proofErr w:type="gramEnd"/>
      <w:r w:rsidRPr="00AF23C1">
        <w:rPr>
          <w:rFonts w:eastAsia="Calibri"/>
          <w:color w:val="000000"/>
          <w:lang w:eastAsia="en-GB"/>
        </w:rPr>
        <w:t xml:space="preserve"> or work of equal value. It is unlawful to pay people unequally because they are a man or a woman. </w:t>
      </w:r>
    </w:p>
    <w:p w14:paraId="1CDFC68E" w14:textId="4FD0E5FD" w:rsidR="00DC28BE" w:rsidRPr="00DA6A1F" w:rsidRDefault="00DC28BE" w:rsidP="002350E8">
      <w:pPr>
        <w:autoSpaceDE w:val="0"/>
        <w:autoSpaceDN w:val="0"/>
        <w:adjustRightInd w:val="0"/>
        <w:spacing w:after="0" w:line="240" w:lineRule="auto"/>
      </w:pPr>
    </w:p>
    <w:p w14:paraId="1C1401CA" w14:textId="03B2B1AD" w:rsidR="00DC28BE" w:rsidRPr="00DA6A1F" w:rsidRDefault="00DC28BE" w:rsidP="003C6E1F">
      <w:pPr>
        <w:autoSpaceDE w:val="0"/>
        <w:autoSpaceDN w:val="0"/>
        <w:adjustRightInd w:val="0"/>
        <w:spacing w:after="0" w:line="240" w:lineRule="auto"/>
        <w:jc w:val="both"/>
      </w:pPr>
      <w:r w:rsidRPr="00DA6A1F">
        <w:t>The guidelines require the ICB to publish the following</w:t>
      </w:r>
      <w:r w:rsidR="0074141F">
        <w:t xml:space="preserve"> calculations</w:t>
      </w:r>
      <w:r w:rsidRPr="00DA6A1F">
        <w:t>:</w:t>
      </w:r>
    </w:p>
    <w:p w14:paraId="370BD4A3" w14:textId="77777777" w:rsidR="009A5616" w:rsidRPr="00DA6A1F" w:rsidRDefault="009A5616" w:rsidP="003C6E1F">
      <w:pPr>
        <w:autoSpaceDE w:val="0"/>
        <w:autoSpaceDN w:val="0"/>
        <w:adjustRightInd w:val="0"/>
        <w:spacing w:after="0" w:line="240" w:lineRule="auto"/>
        <w:jc w:val="both"/>
      </w:pPr>
    </w:p>
    <w:p w14:paraId="6035B2B0" w14:textId="38CD5324" w:rsidR="002350E8" w:rsidRPr="00AF23C1" w:rsidRDefault="002350E8" w:rsidP="003C6E1F">
      <w:pPr>
        <w:autoSpaceDE w:val="0"/>
        <w:autoSpaceDN w:val="0"/>
        <w:adjustRightInd w:val="0"/>
        <w:spacing w:after="0" w:line="240" w:lineRule="auto"/>
        <w:jc w:val="both"/>
      </w:pPr>
      <w:r w:rsidRPr="00AF23C1">
        <w:t xml:space="preserve">1. </w:t>
      </w:r>
      <w:r w:rsidR="00E46057" w:rsidRPr="00AF23C1">
        <w:t xml:space="preserve">Average </w:t>
      </w:r>
      <w:r w:rsidRPr="00AF23C1">
        <w:t>gender pay gap</w:t>
      </w:r>
      <w:r w:rsidR="00E46057" w:rsidRPr="00AF23C1">
        <w:t xml:space="preserve"> as a mean average</w:t>
      </w:r>
    </w:p>
    <w:p w14:paraId="071504B6" w14:textId="6732B66A" w:rsidR="002350E8" w:rsidRPr="00AF23C1" w:rsidRDefault="002350E8" w:rsidP="003C6E1F">
      <w:pPr>
        <w:autoSpaceDE w:val="0"/>
        <w:autoSpaceDN w:val="0"/>
        <w:adjustRightInd w:val="0"/>
        <w:spacing w:after="0" w:line="240" w:lineRule="auto"/>
        <w:jc w:val="both"/>
      </w:pPr>
      <w:r w:rsidRPr="00AF23C1">
        <w:t xml:space="preserve">2. </w:t>
      </w:r>
      <w:r w:rsidR="00E46057" w:rsidRPr="00AF23C1">
        <w:t>Average gender pay gap as a m</w:t>
      </w:r>
      <w:r w:rsidRPr="00AF23C1">
        <w:t xml:space="preserve">edian </w:t>
      </w:r>
      <w:r w:rsidR="00E46057" w:rsidRPr="00AF23C1">
        <w:t>average</w:t>
      </w:r>
    </w:p>
    <w:p w14:paraId="4C62722A" w14:textId="3A68FB43" w:rsidR="002350E8" w:rsidRPr="00DA6A1F" w:rsidRDefault="002350E8" w:rsidP="003C6E1F">
      <w:pPr>
        <w:autoSpaceDE w:val="0"/>
        <w:autoSpaceDN w:val="0"/>
        <w:adjustRightInd w:val="0"/>
        <w:spacing w:after="0" w:line="240" w:lineRule="auto"/>
        <w:jc w:val="both"/>
      </w:pPr>
      <w:r w:rsidRPr="00DA6A1F">
        <w:t>3. Their mean bonus gender pay gap (</w:t>
      </w:r>
      <w:r w:rsidR="00DC28BE" w:rsidRPr="00DA6A1F">
        <w:t xml:space="preserve">The ICB </w:t>
      </w:r>
      <w:r w:rsidRPr="00DA6A1F">
        <w:t>do</w:t>
      </w:r>
      <w:r w:rsidR="00DC28BE" w:rsidRPr="00DA6A1F">
        <w:t>es</w:t>
      </w:r>
      <w:r w:rsidRPr="00DA6A1F">
        <w:t xml:space="preserve"> not pay staff bonuses)</w:t>
      </w:r>
    </w:p>
    <w:p w14:paraId="77C28A00" w14:textId="24C9845D" w:rsidR="002350E8" w:rsidRPr="00DA6A1F" w:rsidRDefault="002350E8" w:rsidP="003C6E1F">
      <w:pPr>
        <w:autoSpaceDE w:val="0"/>
        <w:autoSpaceDN w:val="0"/>
        <w:adjustRightInd w:val="0"/>
        <w:spacing w:after="0" w:line="240" w:lineRule="auto"/>
        <w:jc w:val="both"/>
      </w:pPr>
      <w:r w:rsidRPr="00DA6A1F">
        <w:t>4. Their median bonus gender pay gap (</w:t>
      </w:r>
      <w:r w:rsidR="00DC28BE" w:rsidRPr="00DA6A1F">
        <w:t xml:space="preserve">The ICB </w:t>
      </w:r>
      <w:r w:rsidRPr="00DA6A1F">
        <w:t>do</w:t>
      </w:r>
      <w:r w:rsidR="00DC28BE" w:rsidRPr="00DA6A1F">
        <w:t>es</w:t>
      </w:r>
      <w:r w:rsidRPr="00DA6A1F">
        <w:t xml:space="preserve"> not pay staff bonuses)</w:t>
      </w:r>
    </w:p>
    <w:p w14:paraId="7D350C8B" w14:textId="4A6D2C71" w:rsidR="002350E8" w:rsidRPr="00DA6A1F" w:rsidRDefault="002350E8" w:rsidP="003C6E1F">
      <w:pPr>
        <w:autoSpaceDE w:val="0"/>
        <w:autoSpaceDN w:val="0"/>
        <w:adjustRightInd w:val="0"/>
        <w:spacing w:after="0" w:line="240" w:lineRule="auto"/>
        <w:jc w:val="both"/>
      </w:pPr>
      <w:r w:rsidRPr="00DA6A1F">
        <w:t>5. Their proportion of males receiving a bonus payment (</w:t>
      </w:r>
      <w:r w:rsidR="00DC28BE" w:rsidRPr="00DA6A1F">
        <w:t xml:space="preserve">The ICBs does not </w:t>
      </w:r>
      <w:r w:rsidRPr="00DA6A1F">
        <w:t>pay staff</w:t>
      </w:r>
    </w:p>
    <w:p w14:paraId="772F3C16" w14:textId="77777777" w:rsidR="002350E8" w:rsidRPr="00DA6A1F" w:rsidRDefault="002350E8" w:rsidP="003C6E1F">
      <w:pPr>
        <w:autoSpaceDE w:val="0"/>
        <w:autoSpaceDN w:val="0"/>
        <w:adjustRightInd w:val="0"/>
        <w:spacing w:after="0" w:line="240" w:lineRule="auto"/>
        <w:jc w:val="both"/>
      </w:pPr>
      <w:r w:rsidRPr="00DA6A1F">
        <w:t>bonuses)</w:t>
      </w:r>
    </w:p>
    <w:p w14:paraId="0F34AFBF" w14:textId="7C0AC021" w:rsidR="002350E8" w:rsidRPr="00DA6A1F" w:rsidRDefault="002350E8" w:rsidP="003C6E1F">
      <w:pPr>
        <w:autoSpaceDE w:val="0"/>
        <w:autoSpaceDN w:val="0"/>
        <w:adjustRightInd w:val="0"/>
        <w:spacing w:after="0" w:line="240" w:lineRule="auto"/>
        <w:jc w:val="both"/>
      </w:pPr>
      <w:r w:rsidRPr="00DA6A1F">
        <w:t>6. Their proportion of females receiving a bonus payment (</w:t>
      </w:r>
      <w:r w:rsidR="00DC28BE" w:rsidRPr="00DA6A1F">
        <w:t>The ICB does</w:t>
      </w:r>
      <w:r w:rsidRPr="00DA6A1F">
        <w:t xml:space="preserve"> not pay staff</w:t>
      </w:r>
      <w:r w:rsidR="00844E65" w:rsidRPr="00DA6A1F">
        <w:t xml:space="preserve"> </w:t>
      </w:r>
      <w:r w:rsidRPr="00DA6A1F">
        <w:t>bonuses)</w:t>
      </w:r>
    </w:p>
    <w:p w14:paraId="7346EFAD" w14:textId="77777777" w:rsidR="002350E8" w:rsidRPr="00DA6A1F" w:rsidRDefault="002350E8" w:rsidP="003C6E1F">
      <w:pPr>
        <w:autoSpaceDE w:val="0"/>
        <w:autoSpaceDN w:val="0"/>
        <w:adjustRightInd w:val="0"/>
        <w:spacing w:after="0" w:line="240" w:lineRule="auto"/>
        <w:jc w:val="both"/>
      </w:pPr>
      <w:r w:rsidRPr="00DA6A1F">
        <w:t>7. Their proportion of males and females in each quartile pay band</w:t>
      </w:r>
    </w:p>
    <w:p w14:paraId="16243700" w14:textId="77777777" w:rsidR="002350E8" w:rsidRPr="00DA6A1F" w:rsidRDefault="002350E8" w:rsidP="002350E8">
      <w:pPr>
        <w:autoSpaceDE w:val="0"/>
        <w:autoSpaceDN w:val="0"/>
        <w:adjustRightInd w:val="0"/>
        <w:spacing w:after="0" w:line="240" w:lineRule="auto"/>
      </w:pPr>
    </w:p>
    <w:p w14:paraId="365EC321" w14:textId="77777777" w:rsidR="0074141F" w:rsidRDefault="0074141F" w:rsidP="0074141F">
      <w:pPr>
        <w:spacing w:after="5" w:line="268" w:lineRule="auto"/>
        <w:ind w:left="-5" w:right="337" w:hanging="10"/>
        <w:jc w:val="both"/>
        <w:rPr>
          <w:rFonts w:ascii="Calibri" w:eastAsia="Calibri" w:hAnsi="Calibri" w:cs="Calibri"/>
          <w:color w:val="000000"/>
          <w:szCs w:val="22"/>
          <w:lang w:eastAsia="en-GB"/>
        </w:rPr>
      </w:pPr>
    </w:p>
    <w:p w14:paraId="24A147E0"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29504B24"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4F71D471"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79CFF340"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44B49686"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0A1DC308"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6819B954"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00038915"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1DB27D7B" w14:textId="77777777" w:rsidR="00C75697" w:rsidRDefault="00C75697" w:rsidP="0074141F">
      <w:pPr>
        <w:spacing w:after="5" w:line="268" w:lineRule="auto"/>
        <w:ind w:left="-5" w:right="337" w:hanging="10"/>
        <w:jc w:val="both"/>
        <w:rPr>
          <w:rFonts w:ascii="Calibri" w:eastAsia="Calibri" w:hAnsi="Calibri" w:cs="Calibri"/>
          <w:color w:val="000000"/>
          <w:szCs w:val="22"/>
          <w:lang w:eastAsia="en-GB"/>
        </w:rPr>
      </w:pPr>
    </w:p>
    <w:p w14:paraId="172EB714" w14:textId="58B517CC" w:rsidR="0074141F" w:rsidRPr="0074141F" w:rsidRDefault="0074141F" w:rsidP="0074141F">
      <w:pPr>
        <w:spacing w:after="5" w:line="268" w:lineRule="auto"/>
        <w:ind w:left="-5" w:right="337" w:hanging="10"/>
        <w:jc w:val="both"/>
        <w:rPr>
          <w:rFonts w:eastAsia="Calibri"/>
          <w:b/>
          <w:bCs/>
          <w:color w:val="000000"/>
          <w:szCs w:val="22"/>
          <w:lang w:eastAsia="en-GB"/>
        </w:rPr>
      </w:pPr>
      <w:r w:rsidRPr="0074141F">
        <w:rPr>
          <w:rFonts w:eastAsia="Calibri"/>
          <w:b/>
          <w:bCs/>
          <w:color w:val="000000"/>
          <w:szCs w:val="22"/>
          <w:lang w:eastAsia="en-GB"/>
        </w:rPr>
        <w:lastRenderedPageBreak/>
        <w:t xml:space="preserve">Table of Definitions </w:t>
      </w:r>
    </w:p>
    <w:p w14:paraId="442B87EF" w14:textId="77777777" w:rsidR="0074141F" w:rsidRPr="0074141F" w:rsidRDefault="0074141F" w:rsidP="0074141F">
      <w:pPr>
        <w:autoSpaceDE w:val="0"/>
        <w:autoSpaceDN w:val="0"/>
        <w:adjustRightInd w:val="0"/>
        <w:spacing w:after="0" w:line="240" w:lineRule="auto"/>
      </w:pPr>
    </w:p>
    <w:tbl>
      <w:tblPr>
        <w:tblW w:w="9926" w:type="dxa"/>
        <w:jc w:val="center"/>
        <w:shd w:val="clear" w:color="auto" w:fill="ACB9CA" w:themeFill="text2" w:themeFillTint="66"/>
        <w:tblCellMar>
          <w:top w:w="56" w:type="dxa"/>
          <w:right w:w="46" w:type="dxa"/>
        </w:tblCellMar>
        <w:tblLook w:val="04A0" w:firstRow="1" w:lastRow="0" w:firstColumn="1" w:lastColumn="0" w:noHBand="0" w:noVBand="1"/>
      </w:tblPr>
      <w:tblGrid>
        <w:gridCol w:w="4347"/>
        <w:gridCol w:w="5579"/>
      </w:tblGrid>
      <w:tr w:rsidR="0074141F" w:rsidRPr="0074141F" w14:paraId="1BEA4C5A" w14:textId="77777777" w:rsidTr="00AF23C1">
        <w:trPr>
          <w:trHeight w:val="688"/>
          <w:jc w:val="center"/>
        </w:trPr>
        <w:tc>
          <w:tcPr>
            <w:tcW w:w="4347" w:type="dxa"/>
            <w:tcBorders>
              <w:top w:val="nil"/>
              <w:left w:val="nil"/>
              <w:bottom w:val="single" w:sz="4" w:space="0" w:color="FFFFFF"/>
              <w:right w:val="nil"/>
            </w:tcBorders>
            <w:shd w:val="clear" w:color="auto" w:fill="ACB9CA" w:themeFill="text2" w:themeFillTint="66"/>
          </w:tcPr>
          <w:p w14:paraId="1E3ECBE8" w14:textId="77777777" w:rsidR="0074141F" w:rsidRPr="0074141F" w:rsidRDefault="0074141F" w:rsidP="0074141F">
            <w:pPr>
              <w:autoSpaceDE w:val="0"/>
              <w:autoSpaceDN w:val="0"/>
              <w:adjustRightInd w:val="0"/>
              <w:spacing w:after="0" w:line="240" w:lineRule="auto"/>
            </w:pPr>
            <w:r w:rsidRPr="0074141F">
              <w:t xml:space="preserve">Pay gap  </w:t>
            </w:r>
          </w:p>
        </w:tc>
        <w:tc>
          <w:tcPr>
            <w:tcW w:w="5579" w:type="dxa"/>
            <w:tcBorders>
              <w:top w:val="nil"/>
              <w:left w:val="nil"/>
              <w:bottom w:val="single" w:sz="4" w:space="0" w:color="FFFFFF"/>
              <w:right w:val="nil"/>
            </w:tcBorders>
            <w:shd w:val="clear" w:color="auto" w:fill="ACB9CA" w:themeFill="text2" w:themeFillTint="66"/>
          </w:tcPr>
          <w:p w14:paraId="6A2155ED" w14:textId="77777777" w:rsidR="0074141F" w:rsidRPr="0074141F" w:rsidRDefault="0074141F" w:rsidP="0074141F">
            <w:pPr>
              <w:autoSpaceDE w:val="0"/>
              <w:autoSpaceDN w:val="0"/>
              <w:adjustRightInd w:val="0"/>
              <w:spacing w:after="0" w:line="240" w:lineRule="auto"/>
            </w:pPr>
            <w:r w:rsidRPr="0074141F">
              <w:t xml:space="preserve">Difference in the average pay between two groups  </w:t>
            </w:r>
          </w:p>
        </w:tc>
      </w:tr>
      <w:tr w:rsidR="0074141F" w:rsidRPr="0074141F" w14:paraId="51180A95" w14:textId="77777777" w:rsidTr="00AF23C1">
        <w:trPr>
          <w:trHeight w:val="694"/>
          <w:jc w:val="center"/>
        </w:trPr>
        <w:tc>
          <w:tcPr>
            <w:tcW w:w="4347" w:type="dxa"/>
            <w:tcBorders>
              <w:top w:val="single" w:sz="4" w:space="0" w:color="FFFFFF"/>
              <w:left w:val="nil"/>
              <w:bottom w:val="single" w:sz="4" w:space="0" w:color="FFFFFF"/>
              <w:right w:val="nil"/>
            </w:tcBorders>
            <w:shd w:val="clear" w:color="auto" w:fill="ACB9CA" w:themeFill="text2" w:themeFillTint="66"/>
          </w:tcPr>
          <w:p w14:paraId="067FD7B7" w14:textId="77777777" w:rsidR="0074141F" w:rsidRPr="0074141F" w:rsidRDefault="0074141F" w:rsidP="0074141F">
            <w:pPr>
              <w:autoSpaceDE w:val="0"/>
              <w:autoSpaceDN w:val="0"/>
              <w:adjustRightInd w:val="0"/>
              <w:spacing w:after="0" w:line="240" w:lineRule="auto"/>
            </w:pPr>
            <w:r w:rsidRPr="0074141F">
              <w:t xml:space="preserve">Mean gap  </w:t>
            </w:r>
          </w:p>
        </w:tc>
        <w:tc>
          <w:tcPr>
            <w:tcW w:w="5579" w:type="dxa"/>
            <w:tcBorders>
              <w:top w:val="single" w:sz="4" w:space="0" w:color="FFFFFF"/>
              <w:left w:val="nil"/>
              <w:bottom w:val="single" w:sz="4" w:space="0" w:color="FFFFFF"/>
              <w:right w:val="nil"/>
            </w:tcBorders>
            <w:shd w:val="clear" w:color="auto" w:fill="ACB9CA" w:themeFill="text2" w:themeFillTint="66"/>
          </w:tcPr>
          <w:p w14:paraId="718331BD" w14:textId="77777777" w:rsidR="0074141F" w:rsidRPr="0074141F" w:rsidRDefault="0074141F" w:rsidP="0074141F">
            <w:pPr>
              <w:autoSpaceDE w:val="0"/>
              <w:autoSpaceDN w:val="0"/>
              <w:adjustRightInd w:val="0"/>
              <w:spacing w:after="0" w:line="240" w:lineRule="auto"/>
            </w:pPr>
            <w:r w:rsidRPr="0074141F">
              <w:t xml:space="preserve">Difference between the mean hourly rate for female and male employees  </w:t>
            </w:r>
          </w:p>
        </w:tc>
      </w:tr>
      <w:tr w:rsidR="0074141F" w:rsidRPr="0074141F" w14:paraId="294EF339" w14:textId="77777777" w:rsidTr="00AF23C1">
        <w:trPr>
          <w:trHeight w:val="694"/>
          <w:jc w:val="center"/>
        </w:trPr>
        <w:tc>
          <w:tcPr>
            <w:tcW w:w="4347" w:type="dxa"/>
            <w:tcBorders>
              <w:top w:val="single" w:sz="4" w:space="0" w:color="FFFFFF"/>
              <w:left w:val="nil"/>
              <w:bottom w:val="nil"/>
              <w:right w:val="nil"/>
            </w:tcBorders>
            <w:shd w:val="clear" w:color="auto" w:fill="ACB9CA" w:themeFill="text2" w:themeFillTint="66"/>
          </w:tcPr>
          <w:p w14:paraId="225AD7C3" w14:textId="77777777" w:rsidR="0074141F" w:rsidRPr="0074141F" w:rsidRDefault="0074141F" w:rsidP="0074141F">
            <w:pPr>
              <w:autoSpaceDE w:val="0"/>
              <w:autoSpaceDN w:val="0"/>
              <w:adjustRightInd w:val="0"/>
              <w:spacing w:after="0" w:line="240" w:lineRule="auto"/>
            </w:pPr>
            <w:r w:rsidRPr="0074141F">
              <w:t xml:space="preserve">Median gap  </w:t>
            </w:r>
          </w:p>
        </w:tc>
        <w:tc>
          <w:tcPr>
            <w:tcW w:w="5579" w:type="dxa"/>
            <w:tcBorders>
              <w:top w:val="single" w:sz="4" w:space="0" w:color="FFFFFF"/>
              <w:left w:val="nil"/>
              <w:bottom w:val="nil"/>
              <w:right w:val="nil"/>
            </w:tcBorders>
            <w:shd w:val="clear" w:color="auto" w:fill="ACB9CA" w:themeFill="text2" w:themeFillTint="66"/>
          </w:tcPr>
          <w:p w14:paraId="12142152" w14:textId="77777777" w:rsidR="0074141F" w:rsidRPr="0074141F" w:rsidRDefault="0074141F" w:rsidP="0074141F">
            <w:pPr>
              <w:autoSpaceDE w:val="0"/>
              <w:autoSpaceDN w:val="0"/>
              <w:adjustRightInd w:val="0"/>
              <w:spacing w:after="0" w:line="240" w:lineRule="auto"/>
            </w:pPr>
            <w:r w:rsidRPr="0074141F">
              <w:t xml:space="preserve">Difference between the median hourly rate of pay for female and male employees  </w:t>
            </w:r>
          </w:p>
        </w:tc>
      </w:tr>
      <w:tr w:rsidR="0074141F" w:rsidRPr="0074141F" w14:paraId="1843CBDF" w14:textId="77777777" w:rsidTr="00AF23C1">
        <w:trPr>
          <w:trHeight w:val="694"/>
          <w:jc w:val="center"/>
        </w:trPr>
        <w:tc>
          <w:tcPr>
            <w:tcW w:w="4347" w:type="dxa"/>
            <w:tcBorders>
              <w:top w:val="nil"/>
              <w:left w:val="nil"/>
              <w:bottom w:val="nil"/>
              <w:right w:val="nil"/>
            </w:tcBorders>
            <w:shd w:val="clear" w:color="auto" w:fill="ACB9CA" w:themeFill="text2" w:themeFillTint="66"/>
          </w:tcPr>
          <w:p w14:paraId="54D5A088" w14:textId="77777777" w:rsidR="0074141F" w:rsidRPr="0074141F" w:rsidRDefault="0074141F" w:rsidP="0074141F">
            <w:pPr>
              <w:autoSpaceDE w:val="0"/>
              <w:autoSpaceDN w:val="0"/>
              <w:adjustRightInd w:val="0"/>
              <w:spacing w:after="0" w:line="240" w:lineRule="auto"/>
            </w:pPr>
            <w:r w:rsidRPr="0074141F">
              <w:t xml:space="preserve">Mean bonus gap  </w:t>
            </w:r>
          </w:p>
        </w:tc>
        <w:tc>
          <w:tcPr>
            <w:tcW w:w="5579" w:type="dxa"/>
            <w:tcBorders>
              <w:top w:val="nil"/>
              <w:left w:val="nil"/>
              <w:bottom w:val="nil"/>
              <w:right w:val="nil"/>
            </w:tcBorders>
            <w:shd w:val="clear" w:color="auto" w:fill="ACB9CA" w:themeFill="text2" w:themeFillTint="66"/>
          </w:tcPr>
          <w:p w14:paraId="227C5E8B" w14:textId="77777777" w:rsidR="0074141F" w:rsidRPr="0074141F" w:rsidRDefault="0074141F" w:rsidP="0074141F">
            <w:pPr>
              <w:autoSpaceDE w:val="0"/>
              <w:autoSpaceDN w:val="0"/>
              <w:adjustRightInd w:val="0"/>
              <w:spacing w:after="0" w:line="240" w:lineRule="auto"/>
            </w:pPr>
            <w:r w:rsidRPr="0074141F">
              <w:t xml:space="preserve">Difference between the mean bonus paid to female and male employees  </w:t>
            </w:r>
          </w:p>
        </w:tc>
      </w:tr>
      <w:tr w:rsidR="0074141F" w:rsidRPr="0074141F" w14:paraId="63962A5E" w14:textId="77777777" w:rsidTr="00AF23C1">
        <w:trPr>
          <w:trHeight w:val="694"/>
          <w:jc w:val="center"/>
        </w:trPr>
        <w:tc>
          <w:tcPr>
            <w:tcW w:w="4347" w:type="dxa"/>
            <w:tcBorders>
              <w:top w:val="nil"/>
              <w:left w:val="nil"/>
              <w:bottom w:val="single" w:sz="4" w:space="0" w:color="FFFFFF"/>
              <w:right w:val="nil"/>
            </w:tcBorders>
            <w:shd w:val="clear" w:color="auto" w:fill="ACB9CA" w:themeFill="text2" w:themeFillTint="66"/>
          </w:tcPr>
          <w:p w14:paraId="7BF0E786" w14:textId="77777777" w:rsidR="0074141F" w:rsidRPr="0074141F" w:rsidRDefault="0074141F" w:rsidP="0074141F">
            <w:pPr>
              <w:autoSpaceDE w:val="0"/>
              <w:autoSpaceDN w:val="0"/>
              <w:adjustRightInd w:val="0"/>
              <w:spacing w:after="0" w:line="240" w:lineRule="auto"/>
            </w:pPr>
            <w:r w:rsidRPr="0074141F">
              <w:t xml:space="preserve">Median bonus gap  </w:t>
            </w:r>
          </w:p>
        </w:tc>
        <w:tc>
          <w:tcPr>
            <w:tcW w:w="5579" w:type="dxa"/>
            <w:tcBorders>
              <w:top w:val="nil"/>
              <w:left w:val="nil"/>
              <w:bottom w:val="single" w:sz="4" w:space="0" w:color="FFFFFF"/>
              <w:right w:val="nil"/>
            </w:tcBorders>
            <w:shd w:val="clear" w:color="auto" w:fill="ACB9CA" w:themeFill="text2" w:themeFillTint="66"/>
          </w:tcPr>
          <w:p w14:paraId="63EF04C0" w14:textId="77777777" w:rsidR="0074141F" w:rsidRPr="0074141F" w:rsidRDefault="0074141F" w:rsidP="0074141F">
            <w:pPr>
              <w:autoSpaceDE w:val="0"/>
              <w:autoSpaceDN w:val="0"/>
              <w:adjustRightInd w:val="0"/>
              <w:spacing w:after="0" w:line="240" w:lineRule="auto"/>
            </w:pPr>
            <w:r w:rsidRPr="0074141F">
              <w:t xml:space="preserve">Difference between the median bonus pay paid to female and male employees  </w:t>
            </w:r>
          </w:p>
        </w:tc>
      </w:tr>
      <w:tr w:rsidR="0074141F" w:rsidRPr="0074141F" w14:paraId="2B7DD331" w14:textId="77777777" w:rsidTr="00AF23C1">
        <w:trPr>
          <w:trHeight w:val="1036"/>
          <w:jc w:val="center"/>
        </w:trPr>
        <w:tc>
          <w:tcPr>
            <w:tcW w:w="4347" w:type="dxa"/>
            <w:tcBorders>
              <w:top w:val="single" w:sz="4" w:space="0" w:color="FFFFFF"/>
              <w:left w:val="nil"/>
              <w:bottom w:val="single" w:sz="4" w:space="0" w:color="FFFFFF"/>
              <w:right w:val="nil"/>
            </w:tcBorders>
            <w:shd w:val="clear" w:color="auto" w:fill="ACB9CA" w:themeFill="text2" w:themeFillTint="66"/>
          </w:tcPr>
          <w:p w14:paraId="12E43237" w14:textId="77777777" w:rsidR="0074141F" w:rsidRPr="0074141F" w:rsidRDefault="0074141F" w:rsidP="0074141F">
            <w:pPr>
              <w:autoSpaceDE w:val="0"/>
              <w:autoSpaceDN w:val="0"/>
              <w:adjustRightInd w:val="0"/>
              <w:spacing w:after="0" w:line="240" w:lineRule="auto"/>
            </w:pPr>
            <w:r w:rsidRPr="0074141F">
              <w:t xml:space="preserve">Bonus proportions  </w:t>
            </w:r>
          </w:p>
        </w:tc>
        <w:tc>
          <w:tcPr>
            <w:tcW w:w="5579" w:type="dxa"/>
            <w:tcBorders>
              <w:top w:val="single" w:sz="4" w:space="0" w:color="FFFFFF"/>
              <w:left w:val="nil"/>
              <w:bottom w:val="single" w:sz="4" w:space="0" w:color="FFFFFF"/>
              <w:right w:val="nil"/>
            </w:tcBorders>
            <w:shd w:val="clear" w:color="auto" w:fill="ACB9CA" w:themeFill="text2" w:themeFillTint="66"/>
          </w:tcPr>
          <w:p w14:paraId="57672831" w14:textId="77777777" w:rsidR="0074141F" w:rsidRPr="0074141F" w:rsidRDefault="0074141F" w:rsidP="0074141F">
            <w:pPr>
              <w:autoSpaceDE w:val="0"/>
              <w:autoSpaceDN w:val="0"/>
              <w:adjustRightInd w:val="0"/>
              <w:spacing w:after="0" w:line="240" w:lineRule="auto"/>
            </w:pPr>
            <w:r w:rsidRPr="0074141F">
              <w:t xml:space="preserve">Proportions of female employees who were paid a bonus and the proportion of male employees who were paid a bonus  </w:t>
            </w:r>
          </w:p>
        </w:tc>
      </w:tr>
      <w:tr w:rsidR="0074141F" w:rsidRPr="0074141F" w14:paraId="7F7CD0F1" w14:textId="77777777" w:rsidTr="00AF23C1">
        <w:trPr>
          <w:trHeight w:val="1035"/>
          <w:jc w:val="center"/>
        </w:trPr>
        <w:tc>
          <w:tcPr>
            <w:tcW w:w="4347" w:type="dxa"/>
            <w:tcBorders>
              <w:top w:val="single" w:sz="4" w:space="0" w:color="FFFFFF"/>
              <w:left w:val="nil"/>
              <w:bottom w:val="single" w:sz="4" w:space="0" w:color="FFFFFF"/>
              <w:right w:val="nil"/>
            </w:tcBorders>
            <w:shd w:val="clear" w:color="auto" w:fill="ACB9CA" w:themeFill="text2" w:themeFillTint="66"/>
          </w:tcPr>
          <w:p w14:paraId="151BCE27" w14:textId="77777777" w:rsidR="0074141F" w:rsidRPr="0074141F" w:rsidRDefault="0074141F" w:rsidP="0074141F">
            <w:pPr>
              <w:autoSpaceDE w:val="0"/>
              <w:autoSpaceDN w:val="0"/>
              <w:adjustRightInd w:val="0"/>
              <w:spacing w:after="0" w:line="240" w:lineRule="auto"/>
            </w:pPr>
            <w:r w:rsidRPr="0074141F">
              <w:t xml:space="preserve">Quartile pay bands  </w:t>
            </w:r>
          </w:p>
        </w:tc>
        <w:tc>
          <w:tcPr>
            <w:tcW w:w="5579" w:type="dxa"/>
            <w:tcBorders>
              <w:top w:val="single" w:sz="4" w:space="0" w:color="FFFFFF"/>
              <w:left w:val="nil"/>
              <w:bottom w:val="single" w:sz="4" w:space="0" w:color="FFFFFF"/>
              <w:right w:val="nil"/>
            </w:tcBorders>
            <w:shd w:val="clear" w:color="auto" w:fill="ACB9CA" w:themeFill="text2" w:themeFillTint="66"/>
          </w:tcPr>
          <w:p w14:paraId="66C06F5B" w14:textId="77777777" w:rsidR="0074141F" w:rsidRPr="0074141F" w:rsidRDefault="0074141F" w:rsidP="0074141F">
            <w:pPr>
              <w:autoSpaceDE w:val="0"/>
              <w:autoSpaceDN w:val="0"/>
              <w:adjustRightInd w:val="0"/>
              <w:spacing w:after="0" w:line="240" w:lineRule="auto"/>
            </w:pPr>
            <w:r w:rsidRPr="0074141F">
              <w:t xml:space="preserve">Proportions of female and male employees in the lower; lower middle; upper middle; and upper quartile4 pay bands  </w:t>
            </w:r>
          </w:p>
        </w:tc>
      </w:tr>
      <w:tr w:rsidR="0074141F" w:rsidRPr="0074141F" w14:paraId="26C75E02" w14:textId="77777777" w:rsidTr="00AF23C1">
        <w:trPr>
          <w:trHeight w:val="348"/>
          <w:jc w:val="center"/>
        </w:trPr>
        <w:tc>
          <w:tcPr>
            <w:tcW w:w="4347" w:type="dxa"/>
            <w:tcBorders>
              <w:top w:val="single" w:sz="4" w:space="0" w:color="FFFFFF"/>
              <w:left w:val="nil"/>
              <w:bottom w:val="nil"/>
              <w:right w:val="nil"/>
            </w:tcBorders>
            <w:shd w:val="clear" w:color="auto" w:fill="ACB9CA" w:themeFill="text2" w:themeFillTint="66"/>
          </w:tcPr>
          <w:p w14:paraId="7268BA6A" w14:textId="77777777" w:rsidR="0074141F" w:rsidRPr="0074141F" w:rsidRDefault="0074141F" w:rsidP="0074141F">
            <w:pPr>
              <w:autoSpaceDE w:val="0"/>
              <w:autoSpaceDN w:val="0"/>
              <w:adjustRightInd w:val="0"/>
              <w:spacing w:after="0" w:line="240" w:lineRule="auto"/>
            </w:pPr>
            <w:r w:rsidRPr="0074141F">
              <w:t xml:space="preserve">Equal pay  </w:t>
            </w:r>
          </w:p>
        </w:tc>
        <w:tc>
          <w:tcPr>
            <w:tcW w:w="5579" w:type="dxa"/>
            <w:tcBorders>
              <w:top w:val="single" w:sz="4" w:space="0" w:color="FFFFFF"/>
              <w:left w:val="nil"/>
              <w:bottom w:val="nil"/>
              <w:right w:val="nil"/>
            </w:tcBorders>
            <w:shd w:val="clear" w:color="auto" w:fill="ACB9CA" w:themeFill="text2" w:themeFillTint="66"/>
          </w:tcPr>
          <w:p w14:paraId="36C460EE" w14:textId="77777777" w:rsidR="0074141F" w:rsidRPr="0074141F" w:rsidRDefault="0074141F" w:rsidP="0074141F">
            <w:pPr>
              <w:autoSpaceDE w:val="0"/>
              <w:autoSpaceDN w:val="0"/>
              <w:adjustRightInd w:val="0"/>
              <w:spacing w:after="0" w:line="240" w:lineRule="auto"/>
            </w:pPr>
            <w:r w:rsidRPr="0074141F">
              <w:t xml:space="preserve">Being paid equally for the same/similar work  </w:t>
            </w:r>
          </w:p>
        </w:tc>
      </w:tr>
    </w:tbl>
    <w:p w14:paraId="496E3A82" w14:textId="77777777" w:rsidR="0074141F" w:rsidRPr="0074141F" w:rsidRDefault="0074141F" w:rsidP="0074141F">
      <w:pPr>
        <w:autoSpaceDE w:val="0"/>
        <w:autoSpaceDN w:val="0"/>
        <w:adjustRightInd w:val="0"/>
        <w:spacing w:after="0" w:line="240" w:lineRule="auto"/>
      </w:pPr>
      <w:r w:rsidRPr="0074141F">
        <w:t xml:space="preserve"> </w:t>
      </w:r>
    </w:p>
    <w:p w14:paraId="24C76784" w14:textId="77777777" w:rsidR="0074141F" w:rsidRPr="0074141F" w:rsidRDefault="0074141F" w:rsidP="0074141F">
      <w:pPr>
        <w:autoSpaceDE w:val="0"/>
        <w:autoSpaceDN w:val="0"/>
        <w:adjustRightInd w:val="0"/>
        <w:spacing w:after="0" w:line="240" w:lineRule="auto"/>
      </w:pPr>
      <w:r w:rsidRPr="0074141F">
        <w:t xml:space="preserve"> </w:t>
      </w:r>
    </w:p>
    <w:p w14:paraId="7B5B4B59" w14:textId="02F71E5A" w:rsidR="002350E8" w:rsidRPr="00DA6A1F" w:rsidRDefault="002350E8" w:rsidP="003C6E1F">
      <w:pPr>
        <w:autoSpaceDE w:val="0"/>
        <w:autoSpaceDN w:val="0"/>
        <w:adjustRightInd w:val="0"/>
        <w:spacing w:after="0" w:line="240" w:lineRule="auto"/>
        <w:jc w:val="both"/>
      </w:pPr>
      <w:r w:rsidRPr="00DA6A1F">
        <w:t>The calculations make use of two types of averages</w:t>
      </w:r>
      <w:r w:rsidR="00AF23C1">
        <w:t xml:space="preserve"> as noted above. </w:t>
      </w:r>
      <w:r w:rsidRPr="00DA6A1F">
        <w:t>A mean average and a median average. Using these two different types of average is helpful to give a more balanced overview of an employer’s overall gender pay gap.</w:t>
      </w:r>
    </w:p>
    <w:p w14:paraId="55D368A6" w14:textId="77777777" w:rsidR="002350E8" w:rsidRPr="00DA6A1F" w:rsidRDefault="002350E8" w:rsidP="003C6E1F">
      <w:pPr>
        <w:autoSpaceDE w:val="0"/>
        <w:autoSpaceDN w:val="0"/>
        <w:adjustRightInd w:val="0"/>
        <w:spacing w:after="0" w:line="240" w:lineRule="auto"/>
        <w:jc w:val="both"/>
      </w:pPr>
    </w:p>
    <w:p w14:paraId="78668259" w14:textId="6D0AE3D6" w:rsidR="002350E8" w:rsidRPr="00DA6A1F" w:rsidRDefault="002350E8" w:rsidP="003C6E1F">
      <w:pPr>
        <w:autoSpaceDE w:val="0"/>
        <w:autoSpaceDN w:val="0"/>
        <w:adjustRightInd w:val="0"/>
        <w:spacing w:after="0" w:line="240" w:lineRule="auto"/>
        <w:jc w:val="both"/>
      </w:pPr>
      <w:r w:rsidRPr="00DA6A1F">
        <w:t>The gender pay gap shows the difference between the average (mean or median)</w:t>
      </w:r>
    </w:p>
    <w:p w14:paraId="0FA39BA1" w14:textId="77777777" w:rsidR="002350E8" w:rsidRPr="00DA6A1F" w:rsidRDefault="002350E8" w:rsidP="003C6E1F">
      <w:pPr>
        <w:autoSpaceDE w:val="0"/>
        <w:autoSpaceDN w:val="0"/>
        <w:adjustRightInd w:val="0"/>
        <w:spacing w:after="0" w:line="240" w:lineRule="auto"/>
        <w:jc w:val="both"/>
      </w:pPr>
      <w:r w:rsidRPr="00DA6A1F">
        <w:t>earnings of men and women in an organisation. It is expressed as a percentage of</w:t>
      </w:r>
    </w:p>
    <w:p w14:paraId="12961661" w14:textId="23077602" w:rsidR="002350E8" w:rsidRPr="00DA6A1F" w:rsidRDefault="002350E8" w:rsidP="003C6E1F">
      <w:pPr>
        <w:autoSpaceDE w:val="0"/>
        <w:autoSpaceDN w:val="0"/>
        <w:adjustRightInd w:val="0"/>
        <w:spacing w:after="0" w:line="240" w:lineRule="auto"/>
        <w:jc w:val="both"/>
      </w:pPr>
      <w:r w:rsidRPr="00DA6A1F">
        <w:t>earnings.</w:t>
      </w:r>
    </w:p>
    <w:p w14:paraId="7046F0EF" w14:textId="77777777" w:rsidR="002350E8" w:rsidRPr="00DA6A1F" w:rsidRDefault="002350E8" w:rsidP="003C6E1F">
      <w:pPr>
        <w:autoSpaceDE w:val="0"/>
        <w:autoSpaceDN w:val="0"/>
        <w:adjustRightInd w:val="0"/>
        <w:spacing w:after="0" w:line="240" w:lineRule="auto"/>
        <w:jc w:val="both"/>
      </w:pPr>
    </w:p>
    <w:p w14:paraId="3EAAE27A" w14:textId="01E325E7" w:rsidR="002350E8" w:rsidRPr="00DA6A1F" w:rsidRDefault="002350E8" w:rsidP="003C6E1F">
      <w:pPr>
        <w:autoSpaceDE w:val="0"/>
        <w:autoSpaceDN w:val="0"/>
        <w:adjustRightInd w:val="0"/>
        <w:spacing w:after="0" w:line="240" w:lineRule="auto"/>
        <w:jc w:val="both"/>
      </w:pPr>
      <w:r w:rsidRPr="00DA6A1F">
        <w:t>Mean averages are useful because they give a good overall indication of the gender pay gap, but very large or small pay rates can ‘dominate’ and/or distort the results. For example, a median average might show a better indication of the ‘middle of the road’ pay gap where a mean average might be distorted by very highly paid specific</w:t>
      </w:r>
      <w:r w:rsidR="00642C50">
        <w:t xml:space="preserve"> </w:t>
      </w:r>
      <w:r w:rsidRPr="00DA6A1F">
        <w:t>employees and board members</w:t>
      </w:r>
      <w:r w:rsidR="008430F8" w:rsidRPr="00DA6A1F">
        <w:t>.</w:t>
      </w:r>
      <w:r w:rsidR="00AA260E" w:rsidRPr="00DA6A1F">
        <w:t xml:space="preserve"> However, </w:t>
      </w:r>
      <w:r w:rsidRPr="00DA6A1F">
        <w:t>it could also fail to pick up</w:t>
      </w:r>
      <w:r w:rsidR="00AA260E" w:rsidRPr="00DA6A1F">
        <w:t>,</w:t>
      </w:r>
      <w:r w:rsidRPr="00DA6A1F">
        <w:t xml:space="preserve"> as effectively</w:t>
      </w:r>
      <w:r w:rsidR="00AA260E" w:rsidRPr="00DA6A1F">
        <w:t>,</w:t>
      </w:r>
      <w:r w:rsidRPr="00DA6A1F">
        <w:t xml:space="preserve"> where</w:t>
      </w:r>
      <w:r w:rsidR="00AA260E" w:rsidRPr="00DA6A1F">
        <w:t xml:space="preserve"> </w:t>
      </w:r>
      <w:r w:rsidRPr="00DA6A1F">
        <w:t>the pay gap issues are most pronounced, for example in the lowest paid or highest</w:t>
      </w:r>
      <w:r w:rsidR="00AA260E" w:rsidRPr="00DA6A1F">
        <w:t xml:space="preserve"> </w:t>
      </w:r>
      <w:r w:rsidRPr="00DA6A1F">
        <w:t>paid employees.</w:t>
      </w:r>
    </w:p>
    <w:p w14:paraId="2475BD83" w14:textId="53F40FE6" w:rsidR="00DA6A1F" w:rsidRPr="00DA6A1F" w:rsidRDefault="00DA6A1F" w:rsidP="00AA260E">
      <w:pPr>
        <w:autoSpaceDE w:val="0"/>
        <w:autoSpaceDN w:val="0"/>
        <w:adjustRightInd w:val="0"/>
        <w:spacing w:after="0" w:line="240" w:lineRule="auto"/>
      </w:pPr>
    </w:p>
    <w:p w14:paraId="7B075E4B" w14:textId="77777777" w:rsidR="005241EC" w:rsidRDefault="005241EC" w:rsidP="00AA260E">
      <w:pPr>
        <w:autoSpaceDE w:val="0"/>
        <w:autoSpaceDN w:val="0"/>
        <w:adjustRightInd w:val="0"/>
        <w:spacing w:after="0" w:line="240" w:lineRule="auto"/>
        <w:rPr>
          <w:b/>
          <w:bCs/>
          <w:sz w:val="32"/>
          <w:szCs w:val="32"/>
        </w:rPr>
      </w:pPr>
    </w:p>
    <w:p w14:paraId="4ED898FF" w14:textId="77777777" w:rsidR="00C75697" w:rsidRDefault="00C75697" w:rsidP="00AA260E">
      <w:pPr>
        <w:autoSpaceDE w:val="0"/>
        <w:autoSpaceDN w:val="0"/>
        <w:adjustRightInd w:val="0"/>
        <w:spacing w:after="0" w:line="240" w:lineRule="auto"/>
        <w:rPr>
          <w:b/>
          <w:bCs/>
          <w:sz w:val="32"/>
          <w:szCs w:val="32"/>
        </w:rPr>
      </w:pPr>
    </w:p>
    <w:p w14:paraId="47F1B1E6" w14:textId="77777777" w:rsidR="00C75697" w:rsidRDefault="00C75697" w:rsidP="00AA260E">
      <w:pPr>
        <w:autoSpaceDE w:val="0"/>
        <w:autoSpaceDN w:val="0"/>
        <w:adjustRightInd w:val="0"/>
        <w:spacing w:after="0" w:line="240" w:lineRule="auto"/>
        <w:rPr>
          <w:b/>
          <w:bCs/>
          <w:sz w:val="32"/>
          <w:szCs w:val="32"/>
        </w:rPr>
      </w:pPr>
    </w:p>
    <w:p w14:paraId="7DEB6D0A" w14:textId="77777777" w:rsidR="00C75697" w:rsidRDefault="00C75697" w:rsidP="00AA260E">
      <w:pPr>
        <w:autoSpaceDE w:val="0"/>
        <w:autoSpaceDN w:val="0"/>
        <w:adjustRightInd w:val="0"/>
        <w:spacing w:after="0" w:line="240" w:lineRule="auto"/>
        <w:rPr>
          <w:b/>
          <w:bCs/>
          <w:sz w:val="32"/>
          <w:szCs w:val="32"/>
        </w:rPr>
      </w:pPr>
    </w:p>
    <w:p w14:paraId="162C8076" w14:textId="77777777" w:rsidR="00C75697" w:rsidRDefault="00C75697" w:rsidP="00AA260E">
      <w:pPr>
        <w:autoSpaceDE w:val="0"/>
        <w:autoSpaceDN w:val="0"/>
        <w:adjustRightInd w:val="0"/>
        <w:spacing w:after="0" w:line="240" w:lineRule="auto"/>
        <w:rPr>
          <w:b/>
          <w:bCs/>
          <w:sz w:val="32"/>
          <w:szCs w:val="32"/>
        </w:rPr>
      </w:pPr>
    </w:p>
    <w:p w14:paraId="5512C511" w14:textId="6D8AA5CB" w:rsidR="00DA6A1F" w:rsidRDefault="006C6BD2" w:rsidP="007948BC">
      <w:pPr>
        <w:autoSpaceDE w:val="0"/>
        <w:autoSpaceDN w:val="0"/>
        <w:adjustRightInd w:val="0"/>
        <w:spacing w:after="0" w:line="240" w:lineRule="auto"/>
        <w:jc w:val="center"/>
        <w:rPr>
          <w:b/>
          <w:bCs/>
          <w:sz w:val="32"/>
          <w:szCs w:val="32"/>
        </w:rPr>
      </w:pPr>
      <w:r w:rsidRPr="006C6BD2">
        <w:rPr>
          <w:b/>
          <w:bCs/>
          <w:sz w:val="32"/>
          <w:szCs w:val="32"/>
        </w:rPr>
        <w:lastRenderedPageBreak/>
        <w:t>Summary of findings</w:t>
      </w:r>
    </w:p>
    <w:p w14:paraId="4314128B" w14:textId="77777777" w:rsidR="00F1469D" w:rsidRDefault="00F1469D" w:rsidP="00AA260E">
      <w:pPr>
        <w:autoSpaceDE w:val="0"/>
        <w:autoSpaceDN w:val="0"/>
        <w:adjustRightInd w:val="0"/>
        <w:spacing w:after="0" w:line="240" w:lineRule="auto"/>
        <w:rPr>
          <w:b/>
          <w:bCs/>
          <w:sz w:val="32"/>
          <w:szCs w:val="32"/>
        </w:rPr>
      </w:pPr>
    </w:p>
    <w:p w14:paraId="5F83D4EE" w14:textId="77777777" w:rsidR="00F1469D" w:rsidRDefault="00F1469D" w:rsidP="00AA260E">
      <w:pPr>
        <w:autoSpaceDE w:val="0"/>
        <w:autoSpaceDN w:val="0"/>
        <w:adjustRightInd w:val="0"/>
        <w:spacing w:after="0" w:line="240" w:lineRule="auto"/>
        <w:rPr>
          <w:b/>
          <w:bCs/>
          <w:sz w:val="32"/>
          <w:szCs w:val="32"/>
        </w:rPr>
      </w:pPr>
    </w:p>
    <w:p w14:paraId="311018B6" w14:textId="41F7B775" w:rsidR="00F1469D" w:rsidRPr="00597969" w:rsidRDefault="00F1469D" w:rsidP="00F1469D">
      <w:pPr>
        <w:autoSpaceDE w:val="0"/>
        <w:autoSpaceDN w:val="0"/>
        <w:adjustRightInd w:val="0"/>
        <w:spacing w:after="0" w:line="240" w:lineRule="auto"/>
        <w:jc w:val="center"/>
        <w:rPr>
          <w:b/>
          <w:bCs/>
          <w:sz w:val="32"/>
          <w:szCs w:val="32"/>
          <w14:textOutline w14:w="9525" w14:cap="rnd" w14:cmpd="sng" w14:algn="ctr">
            <w14:solidFill>
              <w14:schemeClr w14:val="accent1">
                <w14:lumMod w14:val="75000"/>
              </w14:schemeClr>
            </w14:solidFill>
            <w14:prstDash w14:val="solid"/>
            <w14:bevel/>
          </w14:textOutline>
        </w:rPr>
      </w:pPr>
      <w:r>
        <w:rPr>
          <w:noProof/>
        </w:rPr>
        <w:drawing>
          <wp:inline distT="0" distB="0" distL="0" distR="0" wp14:anchorId="5745E2D0" wp14:editId="5A417228">
            <wp:extent cx="4810125" cy="3092450"/>
            <wp:effectExtent l="0" t="0" r="9525" b="12700"/>
            <wp:docPr id="2034238631" name="Chart 2034238631" descr="Pie chart demonstrating that 70% of the ICB workforce are female and 30% male">
              <a:extLst xmlns:a="http://schemas.openxmlformats.org/drawingml/2006/main">
                <a:ext uri="{FF2B5EF4-FFF2-40B4-BE49-F238E27FC236}">
                  <a16:creationId xmlns:a16="http://schemas.microsoft.com/office/drawing/2014/main" id="{9F295202-5CB0-4EC3-A95B-3B14846870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D7106C" w14:textId="77777777" w:rsidR="00F1469D" w:rsidRDefault="00F1469D" w:rsidP="00AA260E">
      <w:pPr>
        <w:autoSpaceDE w:val="0"/>
        <w:autoSpaceDN w:val="0"/>
        <w:adjustRightInd w:val="0"/>
        <w:spacing w:after="0" w:line="240" w:lineRule="auto"/>
        <w:rPr>
          <w:b/>
          <w:bCs/>
          <w:sz w:val="32"/>
          <w:szCs w:val="32"/>
        </w:rPr>
      </w:pPr>
    </w:p>
    <w:p w14:paraId="1C83753B" w14:textId="77777777" w:rsidR="00F1469D" w:rsidRDefault="00F1469D" w:rsidP="00AA260E">
      <w:pPr>
        <w:autoSpaceDE w:val="0"/>
        <w:autoSpaceDN w:val="0"/>
        <w:adjustRightInd w:val="0"/>
        <w:spacing w:after="0" w:line="240" w:lineRule="auto"/>
        <w:rPr>
          <w:b/>
          <w:bCs/>
          <w:sz w:val="32"/>
          <w:szCs w:val="32"/>
        </w:rPr>
      </w:pPr>
    </w:p>
    <w:p w14:paraId="2FDDDF94" w14:textId="2372D5F3" w:rsidR="00F1469D" w:rsidRDefault="00F1469D" w:rsidP="00597969">
      <w:pPr>
        <w:autoSpaceDE w:val="0"/>
        <w:autoSpaceDN w:val="0"/>
        <w:adjustRightInd w:val="0"/>
        <w:spacing w:after="0" w:line="240" w:lineRule="auto"/>
        <w:jc w:val="center"/>
        <w:rPr>
          <w:b/>
          <w:bCs/>
          <w:sz w:val="32"/>
          <w:szCs w:val="32"/>
        </w:rPr>
      </w:pPr>
      <w:r>
        <w:rPr>
          <w:b/>
          <w:bCs/>
          <w:sz w:val="32"/>
          <w:szCs w:val="32"/>
        </w:rPr>
        <w:t>Average Hourly Rates</w:t>
      </w:r>
    </w:p>
    <w:p w14:paraId="4C3B2C57" w14:textId="1701F564" w:rsidR="00A74A55" w:rsidRDefault="00A74A55" w:rsidP="00A74A55">
      <w:pPr>
        <w:autoSpaceDE w:val="0"/>
        <w:autoSpaceDN w:val="0"/>
        <w:adjustRightInd w:val="0"/>
        <w:spacing w:after="0" w:line="240" w:lineRule="auto"/>
      </w:pPr>
    </w:p>
    <w:tbl>
      <w:tblPr>
        <w:tblW w:w="5580" w:type="dxa"/>
        <w:jc w:val="center"/>
        <w:tblBorders>
          <w:top w:val="single" w:sz="4" w:space="0" w:color="979991"/>
          <w:left w:val="single" w:sz="4" w:space="0" w:color="979991"/>
          <w:bottom w:val="single" w:sz="4" w:space="0" w:color="979991"/>
          <w:insideH w:val="single" w:sz="4" w:space="0" w:color="979991"/>
          <w:insideV w:val="single" w:sz="4" w:space="0" w:color="979991"/>
        </w:tblBorders>
        <w:tblLook w:val="04A0" w:firstRow="1" w:lastRow="0" w:firstColumn="1" w:lastColumn="0" w:noHBand="0" w:noVBand="1"/>
      </w:tblPr>
      <w:tblGrid>
        <w:gridCol w:w="3960"/>
        <w:gridCol w:w="1620"/>
      </w:tblGrid>
      <w:tr w:rsidR="00597969" w:rsidRPr="00597969" w14:paraId="3F2BEA9C" w14:textId="77777777" w:rsidTr="00597969">
        <w:trPr>
          <w:trHeight w:val="290"/>
          <w:jc w:val="center"/>
        </w:trPr>
        <w:tc>
          <w:tcPr>
            <w:tcW w:w="3960" w:type="dxa"/>
            <w:shd w:val="clear" w:color="000000" w:fill="0066CC"/>
            <w:hideMark/>
          </w:tcPr>
          <w:p w14:paraId="61AF497E"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Gender</w:t>
            </w:r>
          </w:p>
        </w:tc>
        <w:tc>
          <w:tcPr>
            <w:tcW w:w="1620" w:type="dxa"/>
            <w:shd w:val="clear" w:color="000000" w:fill="0066CC"/>
            <w:hideMark/>
          </w:tcPr>
          <w:p w14:paraId="1CA348C8" w14:textId="29FD917A"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Gender</w:t>
            </w:r>
            <w:r w:rsidR="00F1469D">
              <w:rPr>
                <w:rFonts w:eastAsia="Times New Roman"/>
                <w:b/>
                <w:bCs/>
                <w:color w:val="FFFFFF"/>
                <w:lang w:eastAsia="en-GB"/>
              </w:rPr>
              <w:t xml:space="preserve"> (Mean Average)</w:t>
            </w:r>
          </w:p>
        </w:tc>
      </w:tr>
      <w:tr w:rsidR="00CC7033" w:rsidRPr="00CC7033" w14:paraId="1D36ED19" w14:textId="77777777" w:rsidTr="00597969">
        <w:trPr>
          <w:trHeight w:val="290"/>
          <w:jc w:val="center"/>
        </w:trPr>
        <w:tc>
          <w:tcPr>
            <w:tcW w:w="3960" w:type="dxa"/>
            <w:shd w:val="clear" w:color="000000" w:fill="0066CC"/>
            <w:hideMark/>
          </w:tcPr>
          <w:p w14:paraId="12D4473B"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Male</w:t>
            </w:r>
          </w:p>
        </w:tc>
        <w:tc>
          <w:tcPr>
            <w:tcW w:w="1620" w:type="dxa"/>
            <w:shd w:val="clear" w:color="000000" w:fill="FFFFFF"/>
            <w:hideMark/>
          </w:tcPr>
          <w:p w14:paraId="74BD4CC4" w14:textId="77777777" w:rsidR="00CC7033" w:rsidRPr="00CC7033" w:rsidRDefault="00CC7033" w:rsidP="00CC7033">
            <w:pPr>
              <w:spacing w:after="0" w:line="240" w:lineRule="auto"/>
              <w:jc w:val="right"/>
              <w:rPr>
                <w:rFonts w:eastAsia="Times New Roman"/>
                <w:color w:val="000000"/>
                <w:lang w:eastAsia="en-GB"/>
              </w:rPr>
            </w:pPr>
            <w:r w:rsidRPr="00CC7033">
              <w:rPr>
                <w:rFonts w:eastAsia="Times New Roman"/>
                <w:color w:val="000000"/>
                <w:lang w:eastAsia="en-GB"/>
              </w:rPr>
              <w:t>32.8813</w:t>
            </w:r>
          </w:p>
        </w:tc>
      </w:tr>
      <w:tr w:rsidR="00CC7033" w:rsidRPr="00CC7033" w14:paraId="7D718DE6" w14:textId="77777777" w:rsidTr="00597969">
        <w:trPr>
          <w:trHeight w:val="290"/>
          <w:jc w:val="center"/>
        </w:trPr>
        <w:tc>
          <w:tcPr>
            <w:tcW w:w="3960" w:type="dxa"/>
            <w:shd w:val="clear" w:color="000000" w:fill="0066CC"/>
            <w:hideMark/>
          </w:tcPr>
          <w:p w14:paraId="5F328F27"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Female</w:t>
            </w:r>
          </w:p>
        </w:tc>
        <w:tc>
          <w:tcPr>
            <w:tcW w:w="1620" w:type="dxa"/>
            <w:shd w:val="clear" w:color="000000" w:fill="FFFFFF"/>
            <w:hideMark/>
          </w:tcPr>
          <w:p w14:paraId="31AAB86A" w14:textId="77777777" w:rsidR="00CC7033" w:rsidRPr="00CC7033" w:rsidRDefault="00CC7033" w:rsidP="00CC7033">
            <w:pPr>
              <w:spacing w:after="0" w:line="240" w:lineRule="auto"/>
              <w:jc w:val="right"/>
              <w:rPr>
                <w:rFonts w:eastAsia="Times New Roman"/>
                <w:color w:val="000000"/>
                <w:lang w:eastAsia="en-GB"/>
              </w:rPr>
            </w:pPr>
            <w:r w:rsidRPr="00CC7033">
              <w:rPr>
                <w:rFonts w:eastAsia="Times New Roman"/>
                <w:color w:val="000000"/>
                <w:lang w:eastAsia="en-GB"/>
              </w:rPr>
              <w:t>26.4363</w:t>
            </w:r>
          </w:p>
        </w:tc>
      </w:tr>
      <w:tr w:rsidR="00CC7033" w:rsidRPr="00CC7033" w14:paraId="5B02B7E6" w14:textId="77777777" w:rsidTr="00597969">
        <w:trPr>
          <w:trHeight w:val="290"/>
          <w:jc w:val="center"/>
        </w:trPr>
        <w:tc>
          <w:tcPr>
            <w:tcW w:w="3960" w:type="dxa"/>
            <w:shd w:val="clear" w:color="000000" w:fill="0066CC"/>
            <w:hideMark/>
          </w:tcPr>
          <w:p w14:paraId="085DB721"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Difference</w:t>
            </w:r>
          </w:p>
        </w:tc>
        <w:tc>
          <w:tcPr>
            <w:tcW w:w="1620" w:type="dxa"/>
            <w:shd w:val="clear" w:color="000000" w:fill="FFFFFF"/>
            <w:hideMark/>
          </w:tcPr>
          <w:p w14:paraId="0E472929" w14:textId="77777777" w:rsidR="00CC7033" w:rsidRPr="00CC7033" w:rsidRDefault="00CC7033" w:rsidP="00CC7033">
            <w:pPr>
              <w:spacing w:after="0" w:line="240" w:lineRule="auto"/>
              <w:jc w:val="right"/>
              <w:rPr>
                <w:rFonts w:eastAsia="Times New Roman"/>
                <w:color w:val="000000"/>
                <w:lang w:eastAsia="en-GB"/>
              </w:rPr>
            </w:pPr>
            <w:r w:rsidRPr="00CC7033">
              <w:rPr>
                <w:rFonts w:eastAsia="Times New Roman"/>
                <w:color w:val="000000"/>
                <w:lang w:eastAsia="en-GB"/>
              </w:rPr>
              <w:t>6.4450</w:t>
            </w:r>
          </w:p>
        </w:tc>
      </w:tr>
      <w:tr w:rsidR="00CC7033" w:rsidRPr="00CC7033" w14:paraId="59B747A7" w14:textId="77777777" w:rsidTr="00597969">
        <w:trPr>
          <w:trHeight w:val="290"/>
          <w:jc w:val="center"/>
        </w:trPr>
        <w:tc>
          <w:tcPr>
            <w:tcW w:w="3960" w:type="dxa"/>
            <w:shd w:val="clear" w:color="000000" w:fill="0066CC"/>
            <w:hideMark/>
          </w:tcPr>
          <w:p w14:paraId="1255E0A1"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Pay Gap %</w:t>
            </w:r>
          </w:p>
        </w:tc>
        <w:tc>
          <w:tcPr>
            <w:tcW w:w="1620" w:type="dxa"/>
            <w:shd w:val="clear" w:color="000000" w:fill="FFFFFF"/>
            <w:hideMark/>
          </w:tcPr>
          <w:p w14:paraId="03972D73" w14:textId="77777777" w:rsidR="00CC7033" w:rsidRPr="007948BC" w:rsidRDefault="00CC7033" w:rsidP="00CC7033">
            <w:pPr>
              <w:spacing w:after="0" w:line="240" w:lineRule="auto"/>
              <w:jc w:val="right"/>
              <w:rPr>
                <w:rFonts w:eastAsia="Times New Roman"/>
                <w:b/>
                <w:bCs/>
                <w:color w:val="000000"/>
                <w:lang w:eastAsia="en-GB"/>
              </w:rPr>
            </w:pPr>
            <w:r w:rsidRPr="007948BC">
              <w:rPr>
                <w:rFonts w:eastAsia="Times New Roman"/>
                <w:b/>
                <w:bCs/>
                <w:color w:val="000000"/>
                <w:lang w:eastAsia="en-GB"/>
              </w:rPr>
              <w:t>19.6008</w:t>
            </w:r>
          </w:p>
        </w:tc>
      </w:tr>
    </w:tbl>
    <w:p w14:paraId="412FACD5" w14:textId="5D06475C" w:rsidR="00C60593" w:rsidRDefault="00C60593" w:rsidP="00A74A55">
      <w:pPr>
        <w:autoSpaceDE w:val="0"/>
        <w:autoSpaceDN w:val="0"/>
        <w:adjustRightInd w:val="0"/>
        <w:spacing w:after="0" w:line="240" w:lineRule="auto"/>
      </w:pPr>
    </w:p>
    <w:p w14:paraId="3EBF260C" w14:textId="3237E20D" w:rsidR="0074141F" w:rsidRDefault="00F1469D" w:rsidP="00A74A55">
      <w:pPr>
        <w:autoSpaceDE w:val="0"/>
        <w:autoSpaceDN w:val="0"/>
        <w:adjustRightInd w:val="0"/>
        <w:spacing w:after="0" w:line="240" w:lineRule="auto"/>
        <w:rPr>
          <w:b/>
          <w:bCs/>
          <w:sz w:val="28"/>
          <w:szCs w:val="28"/>
        </w:rPr>
      </w:pPr>
      <w:r w:rsidRPr="00F1469D">
        <w:rPr>
          <w:b/>
          <w:bCs/>
          <w:sz w:val="28"/>
          <w:szCs w:val="28"/>
        </w:rPr>
        <w:t>Analysis</w:t>
      </w:r>
    </w:p>
    <w:p w14:paraId="5C8BA650" w14:textId="2B996239" w:rsidR="00F1469D" w:rsidRDefault="00F1469D" w:rsidP="003C6E1F">
      <w:pPr>
        <w:autoSpaceDE w:val="0"/>
        <w:autoSpaceDN w:val="0"/>
        <w:adjustRightInd w:val="0"/>
        <w:spacing w:after="0" w:line="240" w:lineRule="auto"/>
        <w:jc w:val="both"/>
        <w:rPr>
          <w:b/>
          <w:bCs/>
          <w:sz w:val="28"/>
          <w:szCs w:val="28"/>
        </w:rPr>
      </w:pPr>
    </w:p>
    <w:p w14:paraId="3659ED50" w14:textId="41A77597" w:rsidR="00DD3DE9" w:rsidRDefault="00DD3DE9" w:rsidP="003C6E1F">
      <w:pPr>
        <w:autoSpaceDE w:val="0"/>
        <w:autoSpaceDN w:val="0"/>
        <w:adjustRightInd w:val="0"/>
        <w:spacing w:after="0" w:line="240" w:lineRule="auto"/>
        <w:jc w:val="both"/>
      </w:pPr>
      <w:r w:rsidRPr="00DD3DE9">
        <w:t xml:space="preserve">When we consider the population of LLR the 2021 census data shows that 49.5% of our population are male and 50.5% of our population are female.  Across the LLR NHS workforce we employ 69.5% who are female and 30.5% who are male. </w:t>
      </w:r>
      <w:r w:rsidR="005C4A0F">
        <w:t xml:space="preserve">This is representative of the wider </w:t>
      </w:r>
      <w:r w:rsidR="00FA34F4">
        <w:t xml:space="preserve">national </w:t>
      </w:r>
      <w:r w:rsidR="005C4A0F">
        <w:t>NHS workforce where the workforce is predominately female across all professions.</w:t>
      </w:r>
    </w:p>
    <w:p w14:paraId="75E8CB86" w14:textId="77777777" w:rsidR="00DD3DE9" w:rsidRPr="00DD3DE9" w:rsidRDefault="00DD3DE9" w:rsidP="003C6E1F">
      <w:pPr>
        <w:autoSpaceDE w:val="0"/>
        <w:autoSpaceDN w:val="0"/>
        <w:adjustRightInd w:val="0"/>
        <w:spacing w:after="0" w:line="240" w:lineRule="auto"/>
        <w:jc w:val="both"/>
      </w:pPr>
    </w:p>
    <w:p w14:paraId="107F829A" w14:textId="782E2EB2" w:rsidR="00CC7033" w:rsidRDefault="00CC7033" w:rsidP="003C6E1F">
      <w:pPr>
        <w:autoSpaceDE w:val="0"/>
        <w:autoSpaceDN w:val="0"/>
        <w:adjustRightInd w:val="0"/>
        <w:spacing w:after="0" w:line="240" w:lineRule="auto"/>
        <w:jc w:val="both"/>
        <w:rPr>
          <w:b/>
          <w:bCs/>
        </w:rPr>
      </w:pPr>
      <w:r w:rsidRPr="00A74A55">
        <w:t xml:space="preserve">The </w:t>
      </w:r>
      <w:r w:rsidR="002D4E8A">
        <w:t>m</w:t>
      </w:r>
      <w:r w:rsidRPr="00A74A55">
        <w:t xml:space="preserve">ean/average </w:t>
      </w:r>
      <w:r>
        <w:t>Gender Pay Gap (</w:t>
      </w:r>
      <w:r w:rsidRPr="00A74A55">
        <w:t>GPG</w:t>
      </w:r>
      <w:r>
        <w:t>)</w:t>
      </w:r>
      <w:r w:rsidRPr="00A74A55">
        <w:t xml:space="preserve"> table above shows the mean hourly rates for LLR ICB</w:t>
      </w:r>
      <w:r>
        <w:t>.</w:t>
      </w:r>
      <w:r w:rsidRPr="00A74A55">
        <w:t xml:space="preserve"> The mean hourly rate is the average hourly</w:t>
      </w:r>
      <w:r>
        <w:t xml:space="preserve"> </w:t>
      </w:r>
      <w:r w:rsidRPr="00A74A55">
        <w:t>wage across the entire workforce and is a measure of the difference between women’s</w:t>
      </w:r>
      <w:r>
        <w:t xml:space="preserve"> </w:t>
      </w:r>
      <w:r w:rsidRPr="00A74A55">
        <w:t xml:space="preserve">mean hourly wage and men’s mean hourly wage. </w:t>
      </w:r>
      <w:r w:rsidRPr="0033505B">
        <w:rPr>
          <w:b/>
          <w:bCs/>
        </w:rPr>
        <w:t xml:space="preserve">The Mean Pay Gap is </w:t>
      </w:r>
      <w:r>
        <w:rPr>
          <w:b/>
          <w:bCs/>
        </w:rPr>
        <w:t>19.6 % i</w:t>
      </w:r>
      <w:r w:rsidRPr="0033505B">
        <w:rPr>
          <w:b/>
          <w:bCs/>
        </w:rPr>
        <w:t>n favour of men.</w:t>
      </w:r>
    </w:p>
    <w:p w14:paraId="1EC26AF6" w14:textId="238E226E" w:rsidR="00FA34F4" w:rsidRDefault="00FA34F4" w:rsidP="003C6E1F">
      <w:pPr>
        <w:autoSpaceDE w:val="0"/>
        <w:autoSpaceDN w:val="0"/>
        <w:adjustRightInd w:val="0"/>
        <w:spacing w:after="0" w:line="240" w:lineRule="auto"/>
        <w:jc w:val="both"/>
        <w:rPr>
          <w:b/>
          <w:bCs/>
        </w:rPr>
      </w:pPr>
    </w:p>
    <w:p w14:paraId="1ECB9F3E" w14:textId="013B6F57" w:rsidR="00FA34F4" w:rsidRDefault="00FA34F4" w:rsidP="003C6E1F">
      <w:pPr>
        <w:autoSpaceDE w:val="0"/>
        <w:autoSpaceDN w:val="0"/>
        <w:adjustRightInd w:val="0"/>
        <w:spacing w:after="0" w:line="240" w:lineRule="auto"/>
        <w:jc w:val="both"/>
      </w:pPr>
      <w:r>
        <w:lastRenderedPageBreak/>
        <w:t>The mean pay gap is significant statistically however the difference of average hourly pay is small i.e. £6.45 per hour, once the analysis of what is driving the difference in pay which is predominantly due to the medical pay rates.</w:t>
      </w:r>
    </w:p>
    <w:p w14:paraId="602B0D9B" w14:textId="6EB5EB91" w:rsidR="00FA34F4" w:rsidRDefault="00FA34F4" w:rsidP="003C6E1F">
      <w:pPr>
        <w:autoSpaceDE w:val="0"/>
        <w:autoSpaceDN w:val="0"/>
        <w:adjustRightInd w:val="0"/>
        <w:spacing w:after="0" w:line="240" w:lineRule="auto"/>
        <w:jc w:val="both"/>
      </w:pPr>
    </w:p>
    <w:p w14:paraId="541B136F" w14:textId="42A31770" w:rsidR="00FA34F4" w:rsidRPr="00FA34F4" w:rsidRDefault="00FA34F4" w:rsidP="003C6E1F">
      <w:pPr>
        <w:autoSpaceDE w:val="0"/>
        <w:autoSpaceDN w:val="0"/>
        <w:adjustRightInd w:val="0"/>
        <w:spacing w:after="0" w:line="240" w:lineRule="auto"/>
        <w:jc w:val="both"/>
      </w:pPr>
      <w:r>
        <w:t>It is important to note that, the data is from 31</w:t>
      </w:r>
      <w:r w:rsidRPr="00FA34F4">
        <w:rPr>
          <w:vertAlign w:val="superscript"/>
        </w:rPr>
        <w:t>st</w:t>
      </w:r>
      <w:r>
        <w:t xml:space="preserve"> March 2023 as a base line and throughout 2024 we have seen changes that is likely to see a closing of the pay gap due some significant changes; 25 clinical leads TUPE transferring into the ICB on 1</w:t>
      </w:r>
      <w:r w:rsidRPr="00FA34F4">
        <w:rPr>
          <w:vertAlign w:val="superscript"/>
        </w:rPr>
        <w:t>st</w:t>
      </w:r>
      <w:r>
        <w:t xml:space="preserve"> July 2023 which has more women in posts and the change of the Executive Team which has more women in the executive leadership roles.  This will be evaluated in 2024 when we use our 2024 data to understand trends and impacts of actions. </w:t>
      </w:r>
    </w:p>
    <w:p w14:paraId="5034C444" w14:textId="77777777" w:rsidR="00CC7033" w:rsidRDefault="00CC7033" w:rsidP="003C6E1F">
      <w:pPr>
        <w:autoSpaceDE w:val="0"/>
        <w:autoSpaceDN w:val="0"/>
        <w:adjustRightInd w:val="0"/>
        <w:spacing w:after="0" w:line="240" w:lineRule="auto"/>
        <w:jc w:val="both"/>
      </w:pPr>
    </w:p>
    <w:p w14:paraId="291F74DF" w14:textId="0E227516" w:rsidR="006C6BD2" w:rsidRDefault="006C6BD2" w:rsidP="003C6E1F">
      <w:pPr>
        <w:autoSpaceDE w:val="0"/>
        <w:autoSpaceDN w:val="0"/>
        <w:adjustRightInd w:val="0"/>
        <w:spacing w:after="0" w:line="240" w:lineRule="auto"/>
        <w:jc w:val="both"/>
        <w:rPr>
          <w:b/>
          <w:bCs/>
        </w:rPr>
      </w:pPr>
      <w:r w:rsidRPr="006C6BD2">
        <w:rPr>
          <w:b/>
          <w:bCs/>
        </w:rPr>
        <w:t>Comparative data:</w:t>
      </w:r>
    </w:p>
    <w:p w14:paraId="5AF298BE" w14:textId="77777777" w:rsidR="006C6BD2" w:rsidRPr="006C6BD2" w:rsidRDefault="006C6BD2" w:rsidP="003C6E1F">
      <w:pPr>
        <w:autoSpaceDE w:val="0"/>
        <w:autoSpaceDN w:val="0"/>
        <w:adjustRightInd w:val="0"/>
        <w:spacing w:after="0" w:line="240" w:lineRule="auto"/>
        <w:jc w:val="both"/>
        <w:rPr>
          <w:b/>
          <w:bCs/>
        </w:rPr>
      </w:pPr>
    </w:p>
    <w:p w14:paraId="67441CFC" w14:textId="2C54EEA5" w:rsidR="00F1469D" w:rsidRPr="00A23E86" w:rsidRDefault="006C6BD2" w:rsidP="00A23E86">
      <w:pPr>
        <w:autoSpaceDE w:val="0"/>
        <w:autoSpaceDN w:val="0"/>
        <w:adjustRightInd w:val="0"/>
        <w:spacing w:after="0" w:line="240" w:lineRule="auto"/>
        <w:jc w:val="both"/>
      </w:pPr>
      <w:r>
        <w:t xml:space="preserve">This is the first year that </w:t>
      </w:r>
      <w:r w:rsidR="002A3F0C">
        <w:t xml:space="preserve">LLR </w:t>
      </w:r>
      <w:r>
        <w:t xml:space="preserve">ICB </w:t>
      </w:r>
      <w:r w:rsidR="002A3F0C">
        <w:t xml:space="preserve">is </w:t>
      </w:r>
      <w:r>
        <w:t>required to collect their baseline data</w:t>
      </w:r>
      <w:r w:rsidR="002D4E8A">
        <w:t xml:space="preserve"> and makes</w:t>
      </w:r>
      <w:r>
        <w:t xml:space="preserve"> comparison difficult</w:t>
      </w:r>
      <w:r w:rsidR="0033505B">
        <w:t xml:space="preserve"> with other ICBs</w:t>
      </w:r>
      <w:r>
        <w:t xml:space="preserve">. Therefore, </w:t>
      </w:r>
      <w:r w:rsidR="002A3F0C">
        <w:t xml:space="preserve">for this </w:t>
      </w:r>
      <w:r w:rsidR="0033505B">
        <w:t xml:space="preserve">baseline </w:t>
      </w:r>
      <w:r w:rsidR="002A3F0C">
        <w:t xml:space="preserve">year, </w:t>
      </w:r>
      <w:r>
        <w:t xml:space="preserve">we have used two </w:t>
      </w:r>
      <w:r w:rsidR="002A3F0C">
        <w:t xml:space="preserve">local provider </w:t>
      </w:r>
      <w:r>
        <w:t>Trusts</w:t>
      </w:r>
      <w:r w:rsidR="002A3F0C">
        <w:t xml:space="preserve"> as comparators</w:t>
      </w:r>
      <w:r w:rsidR="00A23E86">
        <w:t xml:space="preserve"> the data point for our providers is June 2023</w:t>
      </w:r>
    </w:p>
    <w:p w14:paraId="53877888" w14:textId="77777777" w:rsidR="005241EC" w:rsidRDefault="005241EC" w:rsidP="003C6E1F">
      <w:pPr>
        <w:autoSpaceDE w:val="0"/>
        <w:autoSpaceDN w:val="0"/>
        <w:adjustRightInd w:val="0"/>
        <w:spacing w:after="0" w:line="240" w:lineRule="auto"/>
        <w:jc w:val="both"/>
      </w:pPr>
    </w:p>
    <w:p w14:paraId="00F84E15" w14:textId="6DA7A020" w:rsidR="00A03AE2" w:rsidRPr="001D2137" w:rsidRDefault="006C6BD2" w:rsidP="003C6E1F">
      <w:pPr>
        <w:pStyle w:val="ListParagraph"/>
        <w:numPr>
          <w:ilvl w:val="0"/>
          <w:numId w:val="7"/>
        </w:numPr>
        <w:autoSpaceDE w:val="0"/>
        <w:autoSpaceDN w:val="0"/>
        <w:adjustRightInd w:val="0"/>
        <w:spacing w:after="0" w:line="240" w:lineRule="auto"/>
        <w:jc w:val="both"/>
      </w:pPr>
      <w:r w:rsidRPr="001D2137">
        <w:t>Leicestershire Partnership Trust (</w:t>
      </w:r>
      <w:r w:rsidR="00C60593" w:rsidRPr="001D2137">
        <w:t>LPT</w:t>
      </w:r>
      <w:r w:rsidRPr="001D2137">
        <w:t>)</w:t>
      </w:r>
      <w:r w:rsidR="00C60593" w:rsidRPr="001D2137">
        <w:t xml:space="preserve"> </w:t>
      </w:r>
      <w:r w:rsidR="002D4E8A">
        <w:t xml:space="preserve">mean pay gap is </w:t>
      </w:r>
      <w:r w:rsidR="00C60593" w:rsidRPr="001D2137">
        <w:t>12.9% in favour of men</w:t>
      </w:r>
      <w:r w:rsidR="002D4E8A">
        <w:t>.</w:t>
      </w:r>
      <w:r w:rsidR="00621EF8">
        <w:t xml:space="preserve"> This is below the ICBs figure.</w:t>
      </w:r>
    </w:p>
    <w:p w14:paraId="54EC8869" w14:textId="12EB1714" w:rsidR="00C60593" w:rsidRDefault="00A03AE2" w:rsidP="003C6E1F">
      <w:pPr>
        <w:pStyle w:val="ListParagraph"/>
        <w:numPr>
          <w:ilvl w:val="0"/>
          <w:numId w:val="7"/>
        </w:numPr>
        <w:autoSpaceDE w:val="0"/>
        <w:autoSpaceDN w:val="0"/>
        <w:adjustRightInd w:val="0"/>
        <w:spacing w:after="0" w:line="240" w:lineRule="auto"/>
        <w:jc w:val="both"/>
      </w:pPr>
      <w:r w:rsidRPr="001D2137">
        <w:t>University Hospital Leicester</w:t>
      </w:r>
      <w:r w:rsidR="005241EC" w:rsidRPr="001D2137">
        <w:t xml:space="preserve"> (UHL) </w:t>
      </w:r>
      <w:r w:rsidR="002D4E8A">
        <w:t>m</w:t>
      </w:r>
      <w:r w:rsidRPr="001D2137">
        <w:t xml:space="preserve">ean </w:t>
      </w:r>
      <w:r w:rsidR="002D4E8A">
        <w:t xml:space="preserve">pay gap is </w:t>
      </w:r>
      <w:r w:rsidRPr="001D2137">
        <w:t xml:space="preserve">28% </w:t>
      </w:r>
      <w:r w:rsidR="005241EC" w:rsidRPr="001D2137">
        <w:t>in favour of men</w:t>
      </w:r>
      <w:r w:rsidR="002D4E8A">
        <w:t>.</w:t>
      </w:r>
      <w:r w:rsidR="00621EF8">
        <w:t xml:space="preserve"> This is above the ICBs figure.</w:t>
      </w:r>
    </w:p>
    <w:p w14:paraId="636AE582" w14:textId="77777777" w:rsidR="007948BC" w:rsidRDefault="007948BC" w:rsidP="007948BC">
      <w:pPr>
        <w:autoSpaceDE w:val="0"/>
        <w:autoSpaceDN w:val="0"/>
        <w:adjustRightInd w:val="0"/>
        <w:spacing w:after="0" w:line="240" w:lineRule="auto"/>
        <w:ind w:left="360"/>
      </w:pPr>
    </w:p>
    <w:p w14:paraId="1F46A7AC" w14:textId="2DF4B531" w:rsidR="007948BC" w:rsidRPr="007948BC" w:rsidRDefault="007948BC" w:rsidP="007948BC">
      <w:pPr>
        <w:autoSpaceDE w:val="0"/>
        <w:autoSpaceDN w:val="0"/>
        <w:adjustRightInd w:val="0"/>
        <w:spacing w:after="0" w:line="240" w:lineRule="auto"/>
        <w:ind w:left="360"/>
        <w:jc w:val="center"/>
        <w:rPr>
          <w:b/>
          <w:bCs/>
          <w:sz w:val="32"/>
          <w:szCs w:val="32"/>
        </w:rPr>
      </w:pPr>
      <w:r w:rsidRPr="007948BC">
        <w:rPr>
          <w:b/>
          <w:bCs/>
          <w:sz w:val="32"/>
          <w:szCs w:val="32"/>
        </w:rPr>
        <w:t>Median Hourly Rates</w:t>
      </w:r>
    </w:p>
    <w:p w14:paraId="2ED9F99A" w14:textId="7B495BE4" w:rsidR="00C60593" w:rsidRPr="007948BC" w:rsidRDefault="00C60593" w:rsidP="00A74A55">
      <w:pPr>
        <w:autoSpaceDE w:val="0"/>
        <w:autoSpaceDN w:val="0"/>
        <w:adjustRightInd w:val="0"/>
        <w:spacing w:after="0" w:line="240" w:lineRule="auto"/>
        <w:rPr>
          <w:sz w:val="32"/>
          <w:szCs w:val="32"/>
        </w:rPr>
      </w:pPr>
    </w:p>
    <w:tbl>
      <w:tblPr>
        <w:tblW w:w="5680" w:type="dxa"/>
        <w:jc w:val="center"/>
        <w:tblLook w:val="04A0" w:firstRow="1" w:lastRow="0" w:firstColumn="1" w:lastColumn="0" w:noHBand="0" w:noVBand="1"/>
      </w:tblPr>
      <w:tblGrid>
        <w:gridCol w:w="3960"/>
        <w:gridCol w:w="1720"/>
      </w:tblGrid>
      <w:tr w:rsidR="00CC7033" w:rsidRPr="00CC7033" w14:paraId="2F8A6DEC" w14:textId="77777777" w:rsidTr="007948BC">
        <w:trPr>
          <w:trHeight w:val="290"/>
          <w:jc w:val="center"/>
        </w:trPr>
        <w:tc>
          <w:tcPr>
            <w:tcW w:w="3960" w:type="dxa"/>
            <w:tcBorders>
              <w:top w:val="single" w:sz="4" w:space="0" w:color="979991"/>
              <w:left w:val="single" w:sz="4" w:space="0" w:color="979991"/>
              <w:bottom w:val="nil"/>
              <w:right w:val="nil"/>
            </w:tcBorders>
            <w:shd w:val="clear" w:color="000000" w:fill="0066CC"/>
            <w:hideMark/>
          </w:tcPr>
          <w:p w14:paraId="26942B61"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Gender</w:t>
            </w:r>
          </w:p>
        </w:tc>
        <w:tc>
          <w:tcPr>
            <w:tcW w:w="1720" w:type="dxa"/>
            <w:tcBorders>
              <w:top w:val="single" w:sz="4" w:space="0" w:color="979991"/>
              <w:left w:val="single" w:sz="4" w:space="0" w:color="979991"/>
              <w:bottom w:val="nil"/>
              <w:right w:val="nil"/>
            </w:tcBorders>
            <w:shd w:val="clear" w:color="000000" w:fill="0066CC"/>
            <w:hideMark/>
          </w:tcPr>
          <w:p w14:paraId="47DACA29" w14:textId="62D98CE6"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Gender</w:t>
            </w:r>
            <w:r w:rsidR="00F1469D">
              <w:rPr>
                <w:rFonts w:eastAsia="Times New Roman"/>
                <w:b/>
                <w:bCs/>
                <w:color w:val="FFFFFF"/>
                <w:lang w:eastAsia="en-GB"/>
              </w:rPr>
              <w:t xml:space="preserve"> (Median Average)</w:t>
            </w:r>
          </w:p>
        </w:tc>
      </w:tr>
      <w:tr w:rsidR="00CC7033" w:rsidRPr="00CC7033" w14:paraId="414FDD12" w14:textId="77777777" w:rsidTr="007948BC">
        <w:trPr>
          <w:trHeight w:val="290"/>
          <w:jc w:val="center"/>
        </w:trPr>
        <w:tc>
          <w:tcPr>
            <w:tcW w:w="3960" w:type="dxa"/>
            <w:tcBorders>
              <w:top w:val="single" w:sz="4" w:space="0" w:color="979991"/>
              <w:left w:val="single" w:sz="4" w:space="0" w:color="979991"/>
              <w:bottom w:val="single" w:sz="4" w:space="0" w:color="979991"/>
              <w:right w:val="nil"/>
            </w:tcBorders>
            <w:shd w:val="clear" w:color="000000" w:fill="0066CC"/>
            <w:hideMark/>
          </w:tcPr>
          <w:p w14:paraId="6CA7C734"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Male</w:t>
            </w:r>
          </w:p>
        </w:tc>
        <w:tc>
          <w:tcPr>
            <w:tcW w:w="1720" w:type="dxa"/>
            <w:tcBorders>
              <w:top w:val="single" w:sz="4" w:space="0" w:color="979991"/>
              <w:left w:val="single" w:sz="4" w:space="0" w:color="979991"/>
              <w:bottom w:val="single" w:sz="4" w:space="0" w:color="979991"/>
              <w:right w:val="single" w:sz="4" w:space="0" w:color="979991"/>
            </w:tcBorders>
            <w:shd w:val="clear" w:color="000000" w:fill="FFFFFF"/>
            <w:hideMark/>
          </w:tcPr>
          <w:p w14:paraId="2EDF2309" w14:textId="77777777" w:rsidR="00CC7033" w:rsidRPr="00CC7033" w:rsidRDefault="00CC7033" w:rsidP="00CC7033">
            <w:pPr>
              <w:spacing w:after="0" w:line="240" w:lineRule="auto"/>
              <w:jc w:val="right"/>
              <w:rPr>
                <w:rFonts w:eastAsia="Times New Roman"/>
                <w:color w:val="000000"/>
                <w:lang w:eastAsia="en-GB"/>
              </w:rPr>
            </w:pPr>
            <w:r w:rsidRPr="00CC7033">
              <w:rPr>
                <w:rFonts w:eastAsia="Times New Roman"/>
                <w:color w:val="000000"/>
                <w:lang w:eastAsia="en-GB"/>
              </w:rPr>
              <w:t>26.2518</w:t>
            </w:r>
          </w:p>
        </w:tc>
      </w:tr>
      <w:tr w:rsidR="00CC7033" w:rsidRPr="00CC7033" w14:paraId="09F1515B" w14:textId="77777777" w:rsidTr="007948BC">
        <w:trPr>
          <w:trHeight w:val="290"/>
          <w:jc w:val="center"/>
        </w:trPr>
        <w:tc>
          <w:tcPr>
            <w:tcW w:w="3960" w:type="dxa"/>
            <w:tcBorders>
              <w:top w:val="nil"/>
              <w:left w:val="single" w:sz="4" w:space="0" w:color="979991"/>
              <w:bottom w:val="single" w:sz="4" w:space="0" w:color="979991"/>
              <w:right w:val="nil"/>
            </w:tcBorders>
            <w:shd w:val="clear" w:color="000000" w:fill="0066CC"/>
            <w:hideMark/>
          </w:tcPr>
          <w:p w14:paraId="2FE0DC59"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Female</w:t>
            </w:r>
          </w:p>
        </w:tc>
        <w:tc>
          <w:tcPr>
            <w:tcW w:w="1720" w:type="dxa"/>
            <w:tcBorders>
              <w:top w:val="nil"/>
              <w:left w:val="single" w:sz="4" w:space="0" w:color="979991"/>
              <w:bottom w:val="single" w:sz="4" w:space="0" w:color="979991"/>
              <w:right w:val="single" w:sz="4" w:space="0" w:color="979991"/>
            </w:tcBorders>
            <w:shd w:val="clear" w:color="000000" w:fill="FFFFFF"/>
            <w:hideMark/>
          </w:tcPr>
          <w:p w14:paraId="12D82ADE" w14:textId="77777777" w:rsidR="00CC7033" w:rsidRPr="00CC7033" w:rsidRDefault="00CC7033" w:rsidP="00CC7033">
            <w:pPr>
              <w:spacing w:after="0" w:line="240" w:lineRule="auto"/>
              <w:jc w:val="right"/>
              <w:rPr>
                <w:rFonts w:eastAsia="Times New Roman"/>
                <w:color w:val="000000"/>
                <w:lang w:eastAsia="en-GB"/>
              </w:rPr>
            </w:pPr>
            <w:r w:rsidRPr="00CC7033">
              <w:rPr>
                <w:rFonts w:eastAsia="Times New Roman"/>
                <w:color w:val="000000"/>
                <w:lang w:eastAsia="en-GB"/>
              </w:rPr>
              <w:t>24.8164</w:t>
            </w:r>
          </w:p>
        </w:tc>
      </w:tr>
      <w:tr w:rsidR="00CC7033" w:rsidRPr="00CC7033" w14:paraId="276C6F37" w14:textId="77777777" w:rsidTr="007948BC">
        <w:trPr>
          <w:trHeight w:val="290"/>
          <w:jc w:val="center"/>
        </w:trPr>
        <w:tc>
          <w:tcPr>
            <w:tcW w:w="3960" w:type="dxa"/>
            <w:tcBorders>
              <w:top w:val="nil"/>
              <w:left w:val="single" w:sz="4" w:space="0" w:color="979991"/>
              <w:bottom w:val="single" w:sz="4" w:space="0" w:color="979991"/>
              <w:right w:val="nil"/>
            </w:tcBorders>
            <w:shd w:val="clear" w:color="000000" w:fill="0066CC"/>
            <w:hideMark/>
          </w:tcPr>
          <w:p w14:paraId="09CAC736"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Difference</w:t>
            </w:r>
          </w:p>
        </w:tc>
        <w:tc>
          <w:tcPr>
            <w:tcW w:w="1720" w:type="dxa"/>
            <w:tcBorders>
              <w:top w:val="nil"/>
              <w:left w:val="single" w:sz="4" w:space="0" w:color="979991"/>
              <w:bottom w:val="single" w:sz="4" w:space="0" w:color="979991"/>
              <w:right w:val="single" w:sz="4" w:space="0" w:color="979991"/>
            </w:tcBorders>
            <w:shd w:val="clear" w:color="000000" w:fill="FFFFFF"/>
            <w:hideMark/>
          </w:tcPr>
          <w:p w14:paraId="64157D15" w14:textId="77777777" w:rsidR="00CC7033" w:rsidRPr="00CC7033" w:rsidRDefault="00CC7033" w:rsidP="00CC7033">
            <w:pPr>
              <w:spacing w:after="0" w:line="240" w:lineRule="auto"/>
              <w:jc w:val="right"/>
              <w:rPr>
                <w:rFonts w:eastAsia="Times New Roman"/>
                <w:color w:val="000000"/>
                <w:lang w:eastAsia="en-GB"/>
              </w:rPr>
            </w:pPr>
            <w:r w:rsidRPr="00CC7033">
              <w:rPr>
                <w:rFonts w:eastAsia="Times New Roman"/>
                <w:color w:val="000000"/>
                <w:lang w:eastAsia="en-GB"/>
              </w:rPr>
              <w:t>1.4354</w:t>
            </w:r>
          </w:p>
        </w:tc>
      </w:tr>
      <w:tr w:rsidR="00CC7033" w:rsidRPr="00CC7033" w14:paraId="4D6997E0" w14:textId="77777777" w:rsidTr="007948BC">
        <w:trPr>
          <w:trHeight w:val="290"/>
          <w:jc w:val="center"/>
        </w:trPr>
        <w:tc>
          <w:tcPr>
            <w:tcW w:w="3960" w:type="dxa"/>
            <w:tcBorders>
              <w:top w:val="nil"/>
              <w:left w:val="single" w:sz="4" w:space="0" w:color="979991"/>
              <w:bottom w:val="single" w:sz="4" w:space="0" w:color="979991"/>
              <w:right w:val="nil"/>
            </w:tcBorders>
            <w:shd w:val="clear" w:color="000000" w:fill="0066CC"/>
            <w:hideMark/>
          </w:tcPr>
          <w:p w14:paraId="05F349A1" w14:textId="77777777" w:rsidR="00CC7033" w:rsidRPr="00CC7033" w:rsidRDefault="00CC7033" w:rsidP="00CC7033">
            <w:pPr>
              <w:spacing w:after="0" w:line="240" w:lineRule="auto"/>
              <w:rPr>
                <w:rFonts w:eastAsia="Times New Roman"/>
                <w:b/>
                <w:bCs/>
                <w:color w:val="FFFFFF"/>
                <w:lang w:eastAsia="en-GB"/>
              </w:rPr>
            </w:pPr>
            <w:r w:rsidRPr="00CC7033">
              <w:rPr>
                <w:rFonts w:eastAsia="Times New Roman"/>
                <w:b/>
                <w:bCs/>
                <w:color w:val="FFFFFF"/>
                <w:lang w:eastAsia="en-GB"/>
              </w:rPr>
              <w:t>Pay Gap %</w:t>
            </w:r>
          </w:p>
        </w:tc>
        <w:tc>
          <w:tcPr>
            <w:tcW w:w="1720" w:type="dxa"/>
            <w:tcBorders>
              <w:top w:val="nil"/>
              <w:left w:val="single" w:sz="4" w:space="0" w:color="979991"/>
              <w:bottom w:val="single" w:sz="4" w:space="0" w:color="979991"/>
              <w:right w:val="single" w:sz="4" w:space="0" w:color="979991"/>
            </w:tcBorders>
            <w:shd w:val="clear" w:color="000000" w:fill="FFFFFF"/>
            <w:hideMark/>
          </w:tcPr>
          <w:p w14:paraId="30A53832" w14:textId="77777777" w:rsidR="00CC7033" w:rsidRPr="007948BC" w:rsidRDefault="00CC7033" w:rsidP="00CC7033">
            <w:pPr>
              <w:spacing w:after="0" w:line="240" w:lineRule="auto"/>
              <w:jc w:val="right"/>
              <w:rPr>
                <w:rFonts w:eastAsia="Times New Roman"/>
                <w:b/>
                <w:bCs/>
                <w:color w:val="000000"/>
                <w:lang w:eastAsia="en-GB"/>
              </w:rPr>
            </w:pPr>
            <w:r w:rsidRPr="007948BC">
              <w:rPr>
                <w:rFonts w:eastAsia="Times New Roman"/>
                <w:b/>
                <w:bCs/>
                <w:color w:val="000000"/>
                <w:lang w:eastAsia="en-GB"/>
              </w:rPr>
              <w:t>5.4679</w:t>
            </w:r>
          </w:p>
        </w:tc>
      </w:tr>
    </w:tbl>
    <w:p w14:paraId="5804BB57" w14:textId="77777777" w:rsidR="00CC7033" w:rsidRPr="00CC7033" w:rsidRDefault="00CC7033" w:rsidP="007566C8">
      <w:pPr>
        <w:autoSpaceDE w:val="0"/>
        <w:autoSpaceDN w:val="0"/>
        <w:adjustRightInd w:val="0"/>
        <w:spacing w:after="0" w:line="240" w:lineRule="auto"/>
      </w:pPr>
    </w:p>
    <w:p w14:paraId="6E080287" w14:textId="076AD987" w:rsidR="00CC7033" w:rsidRPr="00F1469D" w:rsidRDefault="00F1469D" w:rsidP="003C6E1F">
      <w:pPr>
        <w:autoSpaceDE w:val="0"/>
        <w:autoSpaceDN w:val="0"/>
        <w:adjustRightInd w:val="0"/>
        <w:spacing w:after="0" w:line="240" w:lineRule="auto"/>
        <w:jc w:val="both"/>
        <w:rPr>
          <w:b/>
          <w:bCs/>
          <w:sz w:val="28"/>
          <w:szCs w:val="28"/>
        </w:rPr>
      </w:pPr>
      <w:r w:rsidRPr="00F1469D">
        <w:rPr>
          <w:b/>
          <w:bCs/>
          <w:sz w:val="28"/>
          <w:szCs w:val="28"/>
        </w:rPr>
        <w:t>Analysis</w:t>
      </w:r>
    </w:p>
    <w:p w14:paraId="7841F76E" w14:textId="77777777" w:rsidR="00F1469D" w:rsidRDefault="00F1469D" w:rsidP="003C6E1F">
      <w:pPr>
        <w:autoSpaceDE w:val="0"/>
        <w:autoSpaceDN w:val="0"/>
        <w:adjustRightInd w:val="0"/>
        <w:spacing w:after="0" w:line="240" w:lineRule="auto"/>
        <w:jc w:val="both"/>
      </w:pPr>
    </w:p>
    <w:p w14:paraId="2B3BC29E" w14:textId="5FE115AF" w:rsidR="00A74A55" w:rsidRPr="0033505B" w:rsidRDefault="00A74A55" w:rsidP="003C6E1F">
      <w:pPr>
        <w:autoSpaceDE w:val="0"/>
        <w:autoSpaceDN w:val="0"/>
        <w:adjustRightInd w:val="0"/>
        <w:spacing w:after="0" w:line="240" w:lineRule="auto"/>
        <w:jc w:val="both"/>
        <w:rPr>
          <w:b/>
          <w:bCs/>
        </w:rPr>
      </w:pPr>
      <w:r w:rsidRPr="007566C8">
        <w:t xml:space="preserve">The </w:t>
      </w:r>
      <w:r w:rsidR="002D4E8A">
        <w:t>m</w:t>
      </w:r>
      <w:r w:rsidRPr="007566C8">
        <w:t>edian G</w:t>
      </w:r>
      <w:r w:rsidR="002D4E8A">
        <w:t xml:space="preserve">ender Pay Gap </w:t>
      </w:r>
      <w:r w:rsidRPr="007566C8">
        <w:t>table above show</w:t>
      </w:r>
      <w:r w:rsidR="002D4E8A">
        <w:t>s</w:t>
      </w:r>
      <w:r w:rsidRPr="007566C8">
        <w:t xml:space="preserve"> the median hourly rates </w:t>
      </w:r>
      <w:r w:rsidR="007566C8" w:rsidRPr="007566C8">
        <w:t>for LLR ICB.</w:t>
      </w:r>
      <w:r w:rsidR="002D4E8A">
        <w:t xml:space="preserve"> </w:t>
      </w:r>
      <w:r w:rsidRPr="007566C8">
        <w:t>Median average</w:t>
      </w:r>
      <w:r w:rsidR="007566C8" w:rsidRPr="007566C8">
        <w:t xml:space="preserve"> is </w:t>
      </w:r>
      <w:r w:rsidRPr="007566C8">
        <w:t>useful to indicate</w:t>
      </w:r>
      <w:r w:rsidR="007566C8" w:rsidRPr="007566C8">
        <w:t xml:space="preserve"> </w:t>
      </w:r>
      <w:r w:rsidRPr="007566C8">
        <w:t>what the ‘typical’ situation is i.e., in the middle of an organisation and are not</w:t>
      </w:r>
      <w:r w:rsidR="007566C8" w:rsidRPr="007566C8">
        <w:t xml:space="preserve"> d</w:t>
      </w:r>
      <w:r w:rsidRPr="007566C8">
        <w:t xml:space="preserve">istorted by very large or small pay rates. </w:t>
      </w:r>
      <w:r w:rsidRPr="0033505B">
        <w:rPr>
          <w:b/>
          <w:bCs/>
        </w:rPr>
        <w:t xml:space="preserve">The Median Pay Gap </w:t>
      </w:r>
      <w:r w:rsidR="007566C8" w:rsidRPr="0033505B">
        <w:rPr>
          <w:b/>
          <w:bCs/>
        </w:rPr>
        <w:t xml:space="preserve">is </w:t>
      </w:r>
      <w:r w:rsidR="00CC7033">
        <w:rPr>
          <w:b/>
          <w:bCs/>
        </w:rPr>
        <w:t>5.5%</w:t>
      </w:r>
    </w:p>
    <w:p w14:paraId="631FE78A" w14:textId="77777777" w:rsidR="00F1469D" w:rsidRDefault="00F1469D" w:rsidP="003C6E1F">
      <w:pPr>
        <w:autoSpaceDE w:val="0"/>
        <w:autoSpaceDN w:val="0"/>
        <w:adjustRightInd w:val="0"/>
        <w:spacing w:after="0" w:line="240" w:lineRule="auto"/>
        <w:jc w:val="both"/>
        <w:rPr>
          <w:b/>
          <w:bCs/>
        </w:rPr>
      </w:pPr>
    </w:p>
    <w:p w14:paraId="56264445" w14:textId="4B0774D3" w:rsidR="006C6BD2" w:rsidRPr="00C75697" w:rsidRDefault="006C6BD2" w:rsidP="003C6E1F">
      <w:pPr>
        <w:autoSpaceDE w:val="0"/>
        <w:autoSpaceDN w:val="0"/>
        <w:adjustRightInd w:val="0"/>
        <w:spacing w:after="0" w:line="240" w:lineRule="auto"/>
        <w:jc w:val="both"/>
        <w:rPr>
          <w:b/>
          <w:bCs/>
        </w:rPr>
      </w:pPr>
      <w:r w:rsidRPr="00C75697">
        <w:rPr>
          <w:b/>
          <w:bCs/>
        </w:rPr>
        <w:t xml:space="preserve">Comparative </w:t>
      </w:r>
      <w:r w:rsidR="00970031">
        <w:rPr>
          <w:b/>
          <w:bCs/>
        </w:rPr>
        <w:t>data as of 21/06/23</w:t>
      </w:r>
    </w:p>
    <w:p w14:paraId="6C2BA1DA" w14:textId="77777777" w:rsidR="006C6BD2" w:rsidRPr="00C75697" w:rsidRDefault="006C6BD2" w:rsidP="003C6E1F">
      <w:pPr>
        <w:autoSpaceDE w:val="0"/>
        <w:autoSpaceDN w:val="0"/>
        <w:adjustRightInd w:val="0"/>
        <w:spacing w:after="0" w:line="240" w:lineRule="auto"/>
        <w:jc w:val="both"/>
      </w:pPr>
    </w:p>
    <w:p w14:paraId="73B0F25B" w14:textId="2F143D3C" w:rsidR="00A03AE2" w:rsidRPr="00C75697" w:rsidRDefault="00C60593" w:rsidP="003C6E1F">
      <w:pPr>
        <w:pStyle w:val="ListParagraph"/>
        <w:numPr>
          <w:ilvl w:val="0"/>
          <w:numId w:val="6"/>
        </w:numPr>
        <w:autoSpaceDE w:val="0"/>
        <w:autoSpaceDN w:val="0"/>
        <w:adjustRightInd w:val="0"/>
        <w:spacing w:after="0" w:line="240" w:lineRule="auto"/>
        <w:jc w:val="both"/>
      </w:pPr>
      <w:r w:rsidRPr="00C75697">
        <w:t xml:space="preserve">LPT </w:t>
      </w:r>
      <w:r w:rsidR="002D4E8A">
        <w:t xml:space="preserve">median pay gap is </w:t>
      </w:r>
      <w:r w:rsidRPr="00C75697">
        <w:t xml:space="preserve">4.2% </w:t>
      </w:r>
      <w:r w:rsidR="00D50F0C" w:rsidRPr="00C75697">
        <w:t>in favour of men</w:t>
      </w:r>
      <w:r w:rsidR="00621EF8">
        <w:t>. This is below the ICB figure.</w:t>
      </w:r>
      <w:r w:rsidR="00D50F0C" w:rsidRPr="00C75697">
        <w:t xml:space="preserve"> </w:t>
      </w:r>
    </w:p>
    <w:p w14:paraId="2FCFD4C7" w14:textId="2E18C724" w:rsidR="00F1469D" w:rsidRDefault="00CD3F0A" w:rsidP="003C6E1F">
      <w:pPr>
        <w:pStyle w:val="ListParagraph"/>
        <w:numPr>
          <w:ilvl w:val="0"/>
          <w:numId w:val="6"/>
        </w:numPr>
        <w:autoSpaceDE w:val="0"/>
        <w:autoSpaceDN w:val="0"/>
        <w:adjustRightInd w:val="0"/>
        <w:spacing w:after="0" w:line="240" w:lineRule="auto"/>
        <w:jc w:val="both"/>
      </w:pPr>
      <w:r w:rsidRPr="00C75697">
        <w:t xml:space="preserve">UHL </w:t>
      </w:r>
      <w:r w:rsidR="002D4E8A">
        <w:t>m</w:t>
      </w:r>
      <w:r w:rsidR="00A03AE2" w:rsidRPr="00C75697">
        <w:t xml:space="preserve">edian </w:t>
      </w:r>
      <w:r w:rsidR="002D4E8A">
        <w:t xml:space="preserve">pay gap is </w:t>
      </w:r>
      <w:r w:rsidR="00A03AE2" w:rsidRPr="00C75697">
        <w:t xml:space="preserve">13% </w:t>
      </w:r>
      <w:r w:rsidR="005241EC" w:rsidRPr="00C75697">
        <w:t>in favour of men</w:t>
      </w:r>
      <w:r w:rsidR="00941E96">
        <w:t>.</w:t>
      </w:r>
      <w:r w:rsidR="005241EC" w:rsidRPr="00C75697">
        <w:t xml:space="preserve"> </w:t>
      </w:r>
      <w:r w:rsidR="00621EF8">
        <w:t xml:space="preserve"> This is above the ICB figure.</w:t>
      </w:r>
    </w:p>
    <w:p w14:paraId="68002376" w14:textId="77777777" w:rsidR="004043F8" w:rsidRDefault="004043F8" w:rsidP="004043F8">
      <w:pPr>
        <w:autoSpaceDE w:val="0"/>
        <w:autoSpaceDN w:val="0"/>
        <w:adjustRightInd w:val="0"/>
        <w:spacing w:after="0" w:line="240" w:lineRule="auto"/>
        <w:ind w:left="360"/>
      </w:pPr>
    </w:p>
    <w:tbl>
      <w:tblPr>
        <w:tblW w:w="9607" w:type="dxa"/>
        <w:tblLook w:val="04A0" w:firstRow="1" w:lastRow="0" w:firstColumn="1" w:lastColumn="0" w:noHBand="0" w:noVBand="1"/>
      </w:tblPr>
      <w:tblGrid>
        <w:gridCol w:w="8647"/>
        <w:gridCol w:w="960"/>
      </w:tblGrid>
      <w:tr w:rsidR="00642C50" w:rsidRPr="009025EB" w14:paraId="095B79D0" w14:textId="77777777" w:rsidTr="003E33C5">
        <w:trPr>
          <w:trHeight w:val="3965"/>
        </w:trPr>
        <w:tc>
          <w:tcPr>
            <w:tcW w:w="8647" w:type="dxa"/>
            <w:noWrap/>
            <w:vAlign w:val="bottom"/>
          </w:tcPr>
          <w:p w14:paraId="60CE99AA" w14:textId="7978784B" w:rsidR="00C75697" w:rsidRDefault="00C75697" w:rsidP="00C75697">
            <w:pPr>
              <w:spacing w:after="0" w:line="240" w:lineRule="auto"/>
              <w:jc w:val="center"/>
              <w:rPr>
                <w:b/>
                <w:bCs/>
                <w:sz w:val="28"/>
                <w:szCs w:val="28"/>
              </w:rPr>
            </w:pPr>
            <w:r w:rsidRPr="009025EB">
              <w:rPr>
                <w:b/>
                <w:bCs/>
                <w:sz w:val="28"/>
                <w:szCs w:val="28"/>
              </w:rPr>
              <w:lastRenderedPageBreak/>
              <w:t>Proportion of Males and Females by Pay Bands</w:t>
            </w:r>
          </w:p>
          <w:p w14:paraId="65336B36" w14:textId="3B259730" w:rsidR="003B21C0" w:rsidRDefault="003B21C0" w:rsidP="003B21C0">
            <w:pPr>
              <w:spacing w:after="0" w:line="240" w:lineRule="auto"/>
              <w:jc w:val="center"/>
              <w:rPr>
                <w:rFonts w:eastAsia="Calibri"/>
                <w:b/>
                <w:bCs/>
                <w:color w:val="000000"/>
                <w:sz w:val="32"/>
                <w:szCs w:val="32"/>
                <w:lang w:eastAsia="en-GB"/>
              </w:rPr>
            </w:pPr>
          </w:p>
          <w:p w14:paraId="164DB645" w14:textId="60AABF4C" w:rsidR="00C75697" w:rsidRPr="00B14008" w:rsidRDefault="003B21C0" w:rsidP="003E33C5">
            <w:pPr>
              <w:spacing w:after="0" w:line="240" w:lineRule="auto"/>
              <w:jc w:val="center"/>
              <w:rPr>
                <w:rFonts w:eastAsia="Calibri"/>
                <w:b/>
                <w:bCs/>
                <w:color w:val="000000"/>
                <w:sz w:val="32"/>
                <w:szCs w:val="32"/>
                <w:lang w:eastAsia="en-GB"/>
              </w:rPr>
            </w:pPr>
            <w:r>
              <w:rPr>
                <w:noProof/>
              </w:rPr>
              <w:drawing>
                <wp:inline distT="0" distB="0" distL="0" distR="0" wp14:anchorId="334D85E9" wp14:editId="76752815">
                  <wp:extent cx="4727575" cy="2654300"/>
                  <wp:effectExtent l="0" t="0" r="15875" b="12700"/>
                  <wp:docPr id="1215543613" name="Chart 1" descr="Graph demonstrating the numbers og men and women by gender per pay band">
                    <a:extLst xmlns:a="http://schemas.openxmlformats.org/drawingml/2006/main">
                      <a:ext uri="{FF2B5EF4-FFF2-40B4-BE49-F238E27FC236}">
                        <a16:creationId xmlns:a16="http://schemas.microsoft.com/office/drawing/2014/main" id="{63F6A7A6-3ECB-4134-AF7B-97DB30539D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960" w:type="dxa"/>
            <w:noWrap/>
            <w:vAlign w:val="bottom"/>
          </w:tcPr>
          <w:p w14:paraId="3E5621CD" w14:textId="77777777" w:rsidR="00642C50" w:rsidRPr="009025EB" w:rsidRDefault="00642C50" w:rsidP="009025EB">
            <w:pPr>
              <w:spacing w:after="0" w:line="240" w:lineRule="auto"/>
              <w:jc w:val="right"/>
              <w:rPr>
                <w:rFonts w:eastAsia="Calibri"/>
                <w:color w:val="000000"/>
                <w:sz w:val="32"/>
                <w:szCs w:val="32"/>
                <w:lang w:eastAsia="en-GB"/>
              </w:rPr>
            </w:pPr>
          </w:p>
        </w:tc>
      </w:tr>
    </w:tbl>
    <w:p w14:paraId="475B9372" w14:textId="77777777" w:rsidR="003E33C5" w:rsidRDefault="003E33C5" w:rsidP="00C549DB">
      <w:pPr>
        <w:autoSpaceDE w:val="0"/>
        <w:autoSpaceDN w:val="0"/>
        <w:adjustRightInd w:val="0"/>
        <w:spacing w:after="0" w:line="240" w:lineRule="auto"/>
        <w:jc w:val="center"/>
        <w:rPr>
          <w:b/>
          <w:bCs/>
        </w:rPr>
      </w:pPr>
    </w:p>
    <w:p w14:paraId="47D144F5" w14:textId="68535A55" w:rsidR="007948BC" w:rsidRPr="00FA34F4" w:rsidRDefault="00FA34F4" w:rsidP="003E33C5">
      <w:pPr>
        <w:spacing w:after="0" w:line="240" w:lineRule="auto"/>
        <w:rPr>
          <w:rFonts w:eastAsia="Calibri"/>
          <w:color w:val="000000"/>
          <w:lang w:eastAsia="en-GB"/>
        </w:rPr>
      </w:pPr>
      <w:r w:rsidRPr="00FA34F4">
        <w:rPr>
          <w:rFonts w:eastAsia="Calibri"/>
          <w:color w:val="000000"/>
          <w:lang w:eastAsia="en-GB"/>
        </w:rPr>
        <w:t xml:space="preserve">Note for analysis – left axis is the % of the workforce, the right axis is the equivalent mean hourly </w:t>
      </w:r>
      <w:proofErr w:type="gramStart"/>
      <w:r w:rsidRPr="00FA34F4">
        <w:rPr>
          <w:rFonts w:eastAsia="Calibri"/>
          <w:color w:val="000000"/>
          <w:lang w:eastAsia="en-GB"/>
        </w:rPr>
        <w:t>rate</w:t>
      </w:r>
      <w:proofErr w:type="gramEnd"/>
    </w:p>
    <w:p w14:paraId="60BD6976" w14:textId="77777777" w:rsidR="00FA34F4" w:rsidRDefault="00FA34F4" w:rsidP="003E33C5">
      <w:pPr>
        <w:spacing w:after="0" w:line="240" w:lineRule="auto"/>
        <w:rPr>
          <w:rFonts w:eastAsia="Calibri"/>
          <w:b/>
          <w:bCs/>
          <w:color w:val="000000"/>
          <w:sz w:val="28"/>
          <w:szCs w:val="28"/>
          <w:lang w:eastAsia="en-GB"/>
        </w:rPr>
      </w:pPr>
    </w:p>
    <w:p w14:paraId="59EDEA2C" w14:textId="7A41C28B" w:rsidR="003E33C5" w:rsidRPr="00F1469D" w:rsidRDefault="003E33C5" w:rsidP="003C6E1F">
      <w:pPr>
        <w:spacing w:after="0" w:line="240" w:lineRule="auto"/>
        <w:jc w:val="both"/>
        <w:rPr>
          <w:rFonts w:eastAsia="Calibri"/>
          <w:b/>
          <w:bCs/>
          <w:color w:val="000000"/>
          <w:sz w:val="28"/>
          <w:szCs w:val="28"/>
          <w:lang w:eastAsia="en-GB"/>
        </w:rPr>
      </w:pPr>
      <w:r w:rsidRPr="00F1469D">
        <w:rPr>
          <w:rFonts w:eastAsia="Calibri"/>
          <w:b/>
          <w:bCs/>
          <w:color w:val="000000"/>
          <w:sz w:val="28"/>
          <w:szCs w:val="28"/>
          <w:lang w:eastAsia="en-GB"/>
        </w:rPr>
        <w:t xml:space="preserve">Analysis </w:t>
      </w:r>
      <w:r>
        <w:rPr>
          <w:rFonts w:eastAsia="Calibri"/>
          <w:b/>
          <w:bCs/>
          <w:color w:val="000000"/>
          <w:sz w:val="28"/>
          <w:szCs w:val="28"/>
          <w:lang w:eastAsia="en-GB"/>
        </w:rPr>
        <w:t>of male/female workforce representation by</w:t>
      </w:r>
      <w:r w:rsidRPr="00F1469D">
        <w:rPr>
          <w:rFonts w:eastAsia="Calibri"/>
          <w:b/>
          <w:bCs/>
          <w:color w:val="000000"/>
          <w:sz w:val="28"/>
          <w:szCs w:val="28"/>
          <w:lang w:eastAsia="en-GB"/>
        </w:rPr>
        <w:t xml:space="preserve"> pay </w:t>
      </w:r>
      <w:proofErr w:type="gramStart"/>
      <w:r w:rsidRPr="00F1469D">
        <w:rPr>
          <w:rFonts w:eastAsia="Calibri"/>
          <w:b/>
          <w:bCs/>
          <w:color w:val="000000"/>
          <w:sz w:val="28"/>
          <w:szCs w:val="28"/>
          <w:lang w:eastAsia="en-GB"/>
        </w:rPr>
        <w:t>band</w:t>
      </w:r>
      <w:proofErr w:type="gramEnd"/>
      <w:r w:rsidRPr="00F1469D">
        <w:rPr>
          <w:rFonts w:eastAsia="Calibri"/>
          <w:b/>
          <w:bCs/>
          <w:color w:val="000000"/>
          <w:sz w:val="28"/>
          <w:szCs w:val="28"/>
          <w:lang w:eastAsia="en-GB"/>
        </w:rPr>
        <w:t xml:space="preserve"> </w:t>
      </w:r>
    </w:p>
    <w:p w14:paraId="173D904D" w14:textId="77777777" w:rsidR="003E33C5" w:rsidRDefault="003E33C5" w:rsidP="003C6E1F">
      <w:pPr>
        <w:spacing w:after="0" w:line="240" w:lineRule="auto"/>
        <w:jc w:val="both"/>
        <w:rPr>
          <w:rFonts w:eastAsia="Calibri"/>
          <w:b/>
          <w:bCs/>
          <w:color w:val="000000"/>
          <w:sz w:val="32"/>
          <w:szCs w:val="32"/>
          <w:lang w:eastAsia="en-GB"/>
        </w:rPr>
      </w:pPr>
    </w:p>
    <w:p w14:paraId="0F57C955" w14:textId="42D35682" w:rsidR="00A23E86" w:rsidRDefault="00A23E86" w:rsidP="00A23E86">
      <w:pPr>
        <w:spacing w:after="0" w:line="240" w:lineRule="auto"/>
        <w:jc w:val="both"/>
        <w:rPr>
          <w:rFonts w:eastAsia="Calibri"/>
          <w:color w:val="000000"/>
          <w:lang w:eastAsia="en-GB"/>
        </w:rPr>
      </w:pPr>
      <w:r w:rsidRPr="00A23E86">
        <w:rPr>
          <w:rFonts w:eastAsia="Calibri"/>
          <w:color w:val="000000"/>
          <w:lang w:eastAsia="en-GB"/>
        </w:rPr>
        <w:t>When looking at the female and male mean salary by banding, the pay gap is negligible. However, when considering all the statistical information and the reason for there are some information that should be explored</w:t>
      </w:r>
      <w:r>
        <w:rPr>
          <w:rFonts w:eastAsia="Calibri"/>
          <w:color w:val="000000"/>
          <w:lang w:eastAsia="en-GB"/>
        </w:rPr>
        <w:t>.</w:t>
      </w:r>
    </w:p>
    <w:p w14:paraId="40AA9D68" w14:textId="77777777" w:rsidR="00A23E86" w:rsidRPr="00A23E86" w:rsidRDefault="00A23E86" w:rsidP="00A23E86">
      <w:pPr>
        <w:spacing w:after="0" w:line="240" w:lineRule="auto"/>
        <w:jc w:val="both"/>
        <w:rPr>
          <w:rFonts w:eastAsia="Calibri"/>
          <w:color w:val="000000"/>
          <w:lang w:eastAsia="en-GB"/>
        </w:rPr>
      </w:pPr>
    </w:p>
    <w:p w14:paraId="2FD5862F" w14:textId="017F6524" w:rsidR="003E33C5" w:rsidRPr="00465D97" w:rsidRDefault="003E33C5" w:rsidP="003C6E1F">
      <w:pPr>
        <w:pStyle w:val="ListParagraph"/>
        <w:numPr>
          <w:ilvl w:val="0"/>
          <w:numId w:val="8"/>
        </w:numPr>
        <w:spacing w:after="0" w:line="240" w:lineRule="auto"/>
        <w:jc w:val="both"/>
        <w:rPr>
          <w:rFonts w:eastAsia="Calibri"/>
          <w:color w:val="000000"/>
          <w:lang w:eastAsia="en-GB"/>
        </w:rPr>
      </w:pPr>
      <w:r w:rsidRPr="00465D97">
        <w:rPr>
          <w:rFonts w:eastAsia="Calibri"/>
          <w:color w:val="000000"/>
          <w:lang w:eastAsia="en-GB"/>
        </w:rPr>
        <w:t xml:space="preserve">More men than women are found at band </w:t>
      </w:r>
      <w:r>
        <w:rPr>
          <w:rFonts w:eastAsia="Calibri"/>
          <w:color w:val="000000"/>
          <w:lang w:eastAsia="en-GB"/>
        </w:rPr>
        <w:t>2</w:t>
      </w:r>
      <w:r w:rsidRPr="00465D97">
        <w:rPr>
          <w:rFonts w:eastAsia="Calibri"/>
          <w:color w:val="000000"/>
          <w:lang w:eastAsia="en-GB"/>
        </w:rPr>
        <w:t xml:space="preserve"> (75</w:t>
      </w:r>
      <w:r>
        <w:rPr>
          <w:rFonts w:eastAsia="Calibri"/>
          <w:color w:val="000000"/>
          <w:lang w:eastAsia="en-GB"/>
        </w:rPr>
        <w:t>%</w:t>
      </w:r>
      <w:r w:rsidRPr="00465D97">
        <w:rPr>
          <w:rFonts w:eastAsia="Calibri"/>
          <w:color w:val="000000"/>
          <w:lang w:eastAsia="en-GB"/>
        </w:rPr>
        <w:t xml:space="preserve"> compared to 25%) &amp; band </w:t>
      </w:r>
      <w:r>
        <w:rPr>
          <w:rFonts w:eastAsia="Calibri"/>
          <w:color w:val="000000"/>
          <w:lang w:eastAsia="en-GB"/>
        </w:rPr>
        <w:t>3</w:t>
      </w:r>
      <w:r w:rsidRPr="00465D97">
        <w:rPr>
          <w:rFonts w:eastAsia="Calibri"/>
          <w:color w:val="000000"/>
          <w:lang w:eastAsia="en-GB"/>
        </w:rPr>
        <w:t xml:space="preserve"> (60% compared to</w:t>
      </w:r>
      <w:r>
        <w:rPr>
          <w:rFonts w:eastAsia="Calibri"/>
          <w:color w:val="000000"/>
          <w:lang w:eastAsia="en-GB"/>
        </w:rPr>
        <w:t xml:space="preserve"> 40%</w:t>
      </w:r>
      <w:r w:rsidRPr="00465D97">
        <w:rPr>
          <w:rFonts w:eastAsia="Calibri"/>
          <w:color w:val="000000"/>
          <w:lang w:eastAsia="en-GB"/>
        </w:rPr>
        <w:t>)</w:t>
      </w:r>
      <w:r w:rsidR="00FA34F4">
        <w:rPr>
          <w:rFonts w:eastAsia="Calibri"/>
          <w:color w:val="000000"/>
          <w:lang w:eastAsia="en-GB"/>
        </w:rPr>
        <w:t>.  In the ICB these band 2 posts represent the ICB Apprentices and are all currently held by males.  Apprentice posts by nature are development posts and therefore these lowest banded posts are the most likely to change by gender due to annual changes to apprentices.</w:t>
      </w:r>
    </w:p>
    <w:p w14:paraId="2D8972FF" w14:textId="77777777" w:rsidR="003E33C5" w:rsidRPr="00465D97" w:rsidRDefault="003E33C5" w:rsidP="003C6E1F">
      <w:pPr>
        <w:pStyle w:val="ListParagraph"/>
        <w:numPr>
          <w:ilvl w:val="0"/>
          <w:numId w:val="8"/>
        </w:numPr>
        <w:spacing w:after="0" w:line="240" w:lineRule="auto"/>
        <w:jc w:val="both"/>
        <w:rPr>
          <w:rFonts w:eastAsia="Calibri"/>
          <w:color w:val="000000"/>
          <w:lang w:eastAsia="en-GB"/>
        </w:rPr>
      </w:pPr>
      <w:r w:rsidRPr="00465D97">
        <w:rPr>
          <w:rFonts w:eastAsia="Calibri"/>
          <w:color w:val="000000"/>
          <w:lang w:eastAsia="en-GB"/>
        </w:rPr>
        <w:t>More women are found in bands 4 to 9.</w:t>
      </w:r>
    </w:p>
    <w:p w14:paraId="0D0D63C7" w14:textId="77777777" w:rsidR="003E33C5" w:rsidRPr="00465D97" w:rsidRDefault="003E33C5" w:rsidP="003C6E1F">
      <w:pPr>
        <w:pStyle w:val="ListParagraph"/>
        <w:numPr>
          <w:ilvl w:val="0"/>
          <w:numId w:val="8"/>
        </w:numPr>
        <w:spacing w:after="0" w:line="240" w:lineRule="auto"/>
        <w:jc w:val="both"/>
        <w:rPr>
          <w:rFonts w:eastAsia="Calibri"/>
          <w:color w:val="000000"/>
          <w:lang w:eastAsia="en-GB"/>
        </w:rPr>
      </w:pPr>
      <w:r w:rsidRPr="00465D97">
        <w:rPr>
          <w:rFonts w:eastAsia="Calibri"/>
          <w:color w:val="000000"/>
          <w:lang w:eastAsia="en-GB"/>
        </w:rPr>
        <w:t>Band 8d is only occupied by women. There are also a higher proportion of women to men at band 9 (75% compared to 25%).</w:t>
      </w:r>
    </w:p>
    <w:p w14:paraId="55B9732D" w14:textId="0F09AEB1" w:rsidR="003E33C5" w:rsidRPr="00465D97" w:rsidRDefault="003E33C5" w:rsidP="003C6E1F">
      <w:pPr>
        <w:pStyle w:val="ListParagraph"/>
        <w:numPr>
          <w:ilvl w:val="0"/>
          <w:numId w:val="8"/>
        </w:numPr>
        <w:spacing w:after="0" w:line="240" w:lineRule="auto"/>
        <w:jc w:val="both"/>
        <w:rPr>
          <w:rFonts w:eastAsia="Calibri"/>
          <w:color w:val="000000"/>
          <w:lang w:eastAsia="en-GB"/>
        </w:rPr>
      </w:pPr>
      <w:r w:rsidRPr="00465D97">
        <w:rPr>
          <w:rFonts w:eastAsia="Calibri"/>
          <w:color w:val="000000"/>
          <w:lang w:eastAsia="en-GB"/>
        </w:rPr>
        <w:t xml:space="preserve">More men are found in the </w:t>
      </w:r>
      <w:r w:rsidR="004043F8" w:rsidRPr="00465D97">
        <w:rPr>
          <w:rFonts w:eastAsia="Calibri"/>
          <w:color w:val="000000"/>
          <w:lang w:eastAsia="en-GB"/>
        </w:rPr>
        <w:t>medical</w:t>
      </w:r>
      <w:r>
        <w:rPr>
          <w:rFonts w:eastAsia="Calibri"/>
          <w:color w:val="000000"/>
          <w:lang w:eastAsia="en-GB"/>
        </w:rPr>
        <w:t xml:space="preserve"> band</w:t>
      </w:r>
      <w:r w:rsidRPr="00465D97">
        <w:rPr>
          <w:rFonts w:eastAsia="Calibri"/>
          <w:color w:val="000000"/>
          <w:lang w:eastAsia="en-GB"/>
        </w:rPr>
        <w:t xml:space="preserve"> (79% compared to 21 %) and VSM band (53 compared to 47%)</w:t>
      </w:r>
      <w:r w:rsidR="00FA34F4">
        <w:rPr>
          <w:rFonts w:eastAsia="Calibri"/>
          <w:color w:val="000000"/>
          <w:lang w:eastAsia="en-GB"/>
        </w:rPr>
        <w:t xml:space="preserve">.  The significant male dominance in the medical banding explains </w:t>
      </w:r>
      <w:proofErr w:type="gramStart"/>
      <w:r w:rsidR="00FA34F4">
        <w:rPr>
          <w:rFonts w:eastAsia="Calibri"/>
          <w:color w:val="000000"/>
          <w:lang w:eastAsia="en-GB"/>
        </w:rPr>
        <w:t>the majority of</w:t>
      </w:r>
      <w:proofErr w:type="gramEnd"/>
      <w:r w:rsidR="00FA34F4">
        <w:rPr>
          <w:rFonts w:eastAsia="Calibri"/>
          <w:color w:val="000000"/>
          <w:lang w:eastAsia="en-GB"/>
        </w:rPr>
        <w:t xml:space="preserve"> the pay disparity</w:t>
      </w:r>
      <w:r w:rsidR="00A23E86">
        <w:rPr>
          <w:rFonts w:eastAsia="Calibri"/>
          <w:color w:val="000000"/>
          <w:lang w:eastAsia="en-GB"/>
        </w:rPr>
        <w:t xml:space="preserve"> when looking at mean hourly rates</w:t>
      </w:r>
      <w:r w:rsidR="00FA34F4">
        <w:rPr>
          <w:rFonts w:eastAsia="Calibri"/>
          <w:color w:val="000000"/>
          <w:lang w:eastAsia="en-GB"/>
        </w:rPr>
        <w:t xml:space="preserve"> due to the increased hourly rate for medical staff.</w:t>
      </w:r>
    </w:p>
    <w:p w14:paraId="3376A8F6" w14:textId="77777777" w:rsidR="003E33C5" w:rsidRDefault="003E33C5" w:rsidP="00C549DB">
      <w:pPr>
        <w:autoSpaceDE w:val="0"/>
        <w:autoSpaceDN w:val="0"/>
        <w:adjustRightInd w:val="0"/>
        <w:spacing w:after="0" w:line="240" w:lineRule="auto"/>
        <w:jc w:val="center"/>
        <w:rPr>
          <w:b/>
          <w:bCs/>
        </w:rPr>
      </w:pPr>
    </w:p>
    <w:p w14:paraId="34ACC2B8" w14:textId="77777777" w:rsidR="003E33C5" w:rsidRPr="00FD526C" w:rsidRDefault="003E33C5" w:rsidP="007948BC">
      <w:pPr>
        <w:spacing w:after="0" w:line="240" w:lineRule="auto"/>
        <w:jc w:val="center"/>
        <w:rPr>
          <w:rFonts w:eastAsia="Calibri"/>
          <w:b/>
          <w:bCs/>
          <w:color w:val="000000"/>
          <w:sz w:val="28"/>
          <w:szCs w:val="28"/>
          <w:lang w:eastAsia="en-GB"/>
        </w:rPr>
      </w:pPr>
      <w:r w:rsidRPr="00FD526C">
        <w:rPr>
          <w:rFonts w:eastAsia="Calibri"/>
          <w:b/>
          <w:bCs/>
          <w:color w:val="000000"/>
          <w:sz w:val="28"/>
          <w:szCs w:val="28"/>
          <w:lang w:eastAsia="en-GB"/>
        </w:rPr>
        <w:t>Analysis of pay bands</w:t>
      </w:r>
      <w:r>
        <w:rPr>
          <w:rFonts w:eastAsia="Calibri"/>
          <w:b/>
          <w:bCs/>
          <w:color w:val="000000"/>
          <w:sz w:val="28"/>
          <w:szCs w:val="28"/>
          <w:lang w:eastAsia="en-GB"/>
        </w:rPr>
        <w:t xml:space="preserve"> by </w:t>
      </w:r>
      <w:proofErr w:type="gramStart"/>
      <w:r>
        <w:rPr>
          <w:rFonts w:eastAsia="Calibri"/>
          <w:b/>
          <w:bCs/>
          <w:color w:val="000000"/>
          <w:sz w:val="28"/>
          <w:szCs w:val="28"/>
          <w:lang w:eastAsia="en-GB"/>
        </w:rPr>
        <w:t>quartile</w:t>
      </w:r>
      <w:proofErr w:type="gramEnd"/>
    </w:p>
    <w:p w14:paraId="375DA77A" w14:textId="77777777" w:rsidR="003E33C5" w:rsidRDefault="003E33C5" w:rsidP="00C549DB">
      <w:pPr>
        <w:autoSpaceDE w:val="0"/>
        <w:autoSpaceDN w:val="0"/>
        <w:adjustRightInd w:val="0"/>
        <w:spacing w:after="0" w:line="240" w:lineRule="auto"/>
        <w:jc w:val="center"/>
        <w:rPr>
          <w:b/>
          <w:bCs/>
        </w:rPr>
      </w:pPr>
    </w:p>
    <w:p w14:paraId="5A3EC231" w14:textId="77777777" w:rsidR="003E33C5" w:rsidRDefault="003E33C5" w:rsidP="00C549DB">
      <w:pPr>
        <w:autoSpaceDE w:val="0"/>
        <w:autoSpaceDN w:val="0"/>
        <w:adjustRightInd w:val="0"/>
        <w:spacing w:after="0" w:line="240" w:lineRule="auto"/>
        <w:jc w:val="center"/>
        <w:rPr>
          <w:b/>
          <w:bCs/>
        </w:rPr>
      </w:pPr>
    </w:p>
    <w:p w14:paraId="646053C3" w14:textId="7670A389" w:rsidR="009025EB" w:rsidRPr="00C549DB" w:rsidRDefault="009025EB" w:rsidP="00C549DB">
      <w:pPr>
        <w:autoSpaceDE w:val="0"/>
        <w:autoSpaceDN w:val="0"/>
        <w:adjustRightInd w:val="0"/>
        <w:spacing w:after="0" w:line="240" w:lineRule="auto"/>
        <w:jc w:val="center"/>
        <w:rPr>
          <w:b/>
          <w:bCs/>
        </w:rPr>
      </w:pPr>
      <w:r w:rsidRPr="00C549DB">
        <w:rPr>
          <w:b/>
          <w:bCs/>
        </w:rPr>
        <w:t>Number of employees | Q1 = Low, Q4 = High</w:t>
      </w:r>
    </w:p>
    <w:p w14:paraId="387DB8EB" w14:textId="77777777" w:rsidR="00DA6A1F" w:rsidRPr="00DA6A1F" w:rsidRDefault="00DA6A1F" w:rsidP="00AA260E">
      <w:pPr>
        <w:autoSpaceDE w:val="0"/>
        <w:autoSpaceDN w:val="0"/>
        <w:adjustRightInd w:val="0"/>
        <w:spacing w:after="0" w:line="240" w:lineRule="auto"/>
      </w:pPr>
    </w:p>
    <w:p w14:paraId="74825037" w14:textId="77777777" w:rsidR="00295D7B" w:rsidRDefault="00295D7B" w:rsidP="00A74A55">
      <w:pPr>
        <w:autoSpaceDE w:val="0"/>
        <w:autoSpaceDN w:val="0"/>
        <w:adjustRightInd w:val="0"/>
        <w:spacing w:after="0" w:line="240" w:lineRule="auto"/>
        <w:rPr>
          <w:b/>
          <w:bCs/>
        </w:rPr>
      </w:pPr>
    </w:p>
    <w:p w14:paraId="7715A19E" w14:textId="6D20CE37" w:rsidR="00295D7B" w:rsidRDefault="00295D7B" w:rsidP="00295D7B">
      <w:pPr>
        <w:autoSpaceDE w:val="0"/>
        <w:autoSpaceDN w:val="0"/>
        <w:adjustRightInd w:val="0"/>
        <w:spacing w:after="0" w:line="240" w:lineRule="auto"/>
        <w:jc w:val="center"/>
        <w:rPr>
          <w:b/>
          <w:bCs/>
        </w:rPr>
      </w:pPr>
      <w:r>
        <w:rPr>
          <w:noProof/>
        </w:rPr>
        <w:lastRenderedPageBreak/>
        <w:drawing>
          <wp:inline distT="0" distB="0" distL="0" distR="0" wp14:anchorId="1E93F4DD" wp14:editId="660AF35D">
            <wp:extent cx="4572000" cy="2743200"/>
            <wp:effectExtent l="0" t="0" r="0" b="0"/>
            <wp:docPr id="1455819042" name="Chart 1" descr="Bar chart showing pay bands for men and women per quartile&#10;">
              <a:extLst xmlns:a="http://schemas.openxmlformats.org/drawingml/2006/main">
                <a:ext uri="{FF2B5EF4-FFF2-40B4-BE49-F238E27FC236}">
                  <a16:creationId xmlns:a16="http://schemas.microsoft.com/office/drawing/2014/main" id="{78557A71-93D9-4F0C-17AD-CE0BE97467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347359" w14:textId="77777777" w:rsidR="00295D7B" w:rsidRDefault="00295D7B" w:rsidP="00A74A55">
      <w:pPr>
        <w:autoSpaceDE w:val="0"/>
        <w:autoSpaceDN w:val="0"/>
        <w:adjustRightInd w:val="0"/>
        <w:spacing w:after="0" w:line="240" w:lineRule="auto"/>
        <w:rPr>
          <w:b/>
          <w:bCs/>
        </w:rPr>
      </w:pPr>
    </w:p>
    <w:p w14:paraId="49D71604" w14:textId="77777777" w:rsidR="00295D7B" w:rsidRDefault="00295D7B" w:rsidP="00A74A55">
      <w:pPr>
        <w:autoSpaceDE w:val="0"/>
        <w:autoSpaceDN w:val="0"/>
        <w:adjustRightInd w:val="0"/>
        <w:spacing w:after="0" w:line="240" w:lineRule="auto"/>
        <w:rPr>
          <w:b/>
          <w:bCs/>
        </w:rPr>
      </w:pPr>
    </w:p>
    <w:p w14:paraId="248BA8C1" w14:textId="77777777" w:rsidR="00295D7B" w:rsidRDefault="00295D7B" w:rsidP="003C6E1F">
      <w:pPr>
        <w:autoSpaceDE w:val="0"/>
        <w:autoSpaceDN w:val="0"/>
        <w:adjustRightInd w:val="0"/>
        <w:spacing w:after="0" w:line="240" w:lineRule="auto"/>
        <w:jc w:val="both"/>
        <w:rPr>
          <w:b/>
          <w:bCs/>
        </w:rPr>
      </w:pPr>
      <w:r w:rsidRPr="00073E7C">
        <w:rPr>
          <w:b/>
          <w:bCs/>
        </w:rPr>
        <w:t>Q1 Lower Quartile Pay Band</w:t>
      </w:r>
    </w:p>
    <w:p w14:paraId="748999C3" w14:textId="7C059A24" w:rsidR="00295D7B" w:rsidRDefault="00295D7B" w:rsidP="003C6E1F">
      <w:pPr>
        <w:autoSpaceDE w:val="0"/>
        <w:autoSpaceDN w:val="0"/>
        <w:adjustRightInd w:val="0"/>
        <w:spacing w:after="0" w:line="240" w:lineRule="auto"/>
        <w:jc w:val="both"/>
      </w:pPr>
    </w:p>
    <w:p w14:paraId="163F72B4" w14:textId="2B847C16" w:rsidR="00295D7B" w:rsidRPr="007948BC" w:rsidRDefault="009F0AA6" w:rsidP="003C6E1F">
      <w:pPr>
        <w:pStyle w:val="ListParagraph"/>
        <w:numPr>
          <w:ilvl w:val="0"/>
          <w:numId w:val="18"/>
        </w:numPr>
        <w:autoSpaceDE w:val="0"/>
        <w:autoSpaceDN w:val="0"/>
        <w:adjustRightInd w:val="0"/>
        <w:spacing w:after="0" w:line="240" w:lineRule="auto"/>
        <w:jc w:val="both"/>
        <w:rPr>
          <w:b/>
          <w:bCs/>
        </w:rPr>
      </w:pPr>
      <w:r>
        <w:t>The figures demonstrate that 68% are women and 32% are men in this quartile.</w:t>
      </w:r>
      <w:r w:rsidR="00394BC9" w:rsidRPr="00394BC9">
        <w:t xml:space="preserve"> </w:t>
      </w:r>
      <w:r w:rsidR="00394BC9">
        <w:t>Female staff are under representative in this quartile compared to the combined workforce of female workers which is 70%</w:t>
      </w:r>
      <w:r w:rsidR="005D44D6">
        <w:t xml:space="preserve"> however this is a small proportion when we look at the small numbers behind the statistics.</w:t>
      </w:r>
    </w:p>
    <w:p w14:paraId="43CF8C42" w14:textId="77777777" w:rsidR="00295D7B" w:rsidRPr="00073E7C" w:rsidRDefault="00295D7B" w:rsidP="003C6E1F">
      <w:pPr>
        <w:autoSpaceDE w:val="0"/>
        <w:autoSpaceDN w:val="0"/>
        <w:adjustRightInd w:val="0"/>
        <w:spacing w:after="0" w:line="240" w:lineRule="auto"/>
        <w:jc w:val="both"/>
        <w:rPr>
          <w:b/>
          <w:bCs/>
        </w:rPr>
      </w:pPr>
    </w:p>
    <w:p w14:paraId="1CFD1DFD" w14:textId="4D137FF2" w:rsidR="00295D7B" w:rsidRDefault="00295D7B" w:rsidP="003C6E1F">
      <w:pPr>
        <w:autoSpaceDE w:val="0"/>
        <w:autoSpaceDN w:val="0"/>
        <w:adjustRightInd w:val="0"/>
        <w:spacing w:after="0" w:line="240" w:lineRule="auto"/>
        <w:jc w:val="both"/>
        <w:rPr>
          <w:b/>
          <w:bCs/>
        </w:rPr>
      </w:pPr>
      <w:r>
        <w:rPr>
          <w:b/>
          <w:bCs/>
        </w:rPr>
        <w:t xml:space="preserve">Q2 </w:t>
      </w:r>
      <w:r w:rsidRPr="00073E7C">
        <w:rPr>
          <w:b/>
          <w:bCs/>
        </w:rPr>
        <w:t>Lower Middle Quartile Pay Band</w:t>
      </w:r>
    </w:p>
    <w:p w14:paraId="480206D2" w14:textId="0D7ED3BB" w:rsidR="00295D7B" w:rsidRDefault="00295D7B" w:rsidP="003C6E1F">
      <w:pPr>
        <w:autoSpaceDE w:val="0"/>
        <w:autoSpaceDN w:val="0"/>
        <w:adjustRightInd w:val="0"/>
        <w:spacing w:after="0" w:line="240" w:lineRule="auto"/>
        <w:jc w:val="both"/>
        <w:rPr>
          <w:b/>
          <w:bCs/>
        </w:rPr>
      </w:pPr>
    </w:p>
    <w:p w14:paraId="50489B3B" w14:textId="66A7B13F" w:rsidR="00295D7B" w:rsidRDefault="009F0AA6" w:rsidP="003C6E1F">
      <w:pPr>
        <w:pStyle w:val="ListParagraph"/>
        <w:numPr>
          <w:ilvl w:val="0"/>
          <w:numId w:val="18"/>
        </w:numPr>
        <w:autoSpaceDE w:val="0"/>
        <w:autoSpaceDN w:val="0"/>
        <w:adjustRightInd w:val="0"/>
        <w:spacing w:after="0" w:line="240" w:lineRule="auto"/>
        <w:jc w:val="both"/>
      </w:pPr>
      <w:r>
        <w:t xml:space="preserve">The </w:t>
      </w:r>
      <w:r w:rsidR="00394BC9">
        <w:t>figures demonstrate</w:t>
      </w:r>
      <w:r>
        <w:t xml:space="preserve"> that 78% are women and 22% are men in this quartile.</w:t>
      </w:r>
      <w:r w:rsidR="00394BC9" w:rsidRPr="00394BC9">
        <w:t xml:space="preserve"> </w:t>
      </w:r>
      <w:r w:rsidR="00394BC9">
        <w:t>Female staff are over representative in this quartile compared to the combined workforce of females which is 70%.</w:t>
      </w:r>
    </w:p>
    <w:p w14:paraId="6F4DED7D" w14:textId="77777777" w:rsidR="00FD526C" w:rsidRDefault="00FD526C" w:rsidP="00A74A55">
      <w:pPr>
        <w:autoSpaceDE w:val="0"/>
        <w:autoSpaceDN w:val="0"/>
        <w:adjustRightInd w:val="0"/>
        <w:spacing w:after="0" w:line="240" w:lineRule="auto"/>
        <w:rPr>
          <w:b/>
          <w:bCs/>
        </w:rPr>
      </w:pPr>
    </w:p>
    <w:p w14:paraId="044933B8" w14:textId="77777777" w:rsidR="003E33C5" w:rsidRDefault="003E33C5" w:rsidP="00A74A55">
      <w:pPr>
        <w:autoSpaceDE w:val="0"/>
        <w:autoSpaceDN w:val="0"/>
        <w:adjustRightInd w:val="0"/>
        <w:spacing w:after="0" w:line="240" w:lineRule="auto"/>
        <w:rPr>
          <w:b/>
          <w:bCs/>
        </w:rPr>
      </w:pPr>
    </w:p>
    <w:p w14:paraId="769D9E92" w14:textId="4F20EBA1" w:rsidR="00295D7B" w:rsidRPr="00073E7C" w:rsidRDefault="00295D7B" w:rsidP="003C6E1F">
      <w:pPr>
        <w:autoSpaceDE w:val="0"/>
        <w:autoSpaceDN w:val="0"/>
        <w:adjustRightInd w:val="0"/>
        <w:spacing w:after="0" w:line="240" w:lineRule="auto"/>
        <w:jc w:val="both"/>
        <w:rPr>
          <w:b/>
          <w:bCs/>
        </w:rPr>
      </w:pPr>
      <w:r w:rsidRPr="00073E7C">
        <w:rPr>
          <w:b/>
          <w:bCs/>
        </w:rPr>
        <w:t>Q3 Higher Middle Quartile Pay Band</w:t>
      </w:r>
    </w:p>
    <w:p w14:paraId="44FA66B1" w14:textId="70D2E87C" w:rsidR="00295D7B" w:rsidRDefault="00295D7B" w:rsidP="003C6E1F">
      <w:pPr>
        <w:autoSpaceDE w:val="0"/>
        <w:autoSpaceDN w:val="0"/>
        <w:adjustRightInd w:val="0"/>
        <w:spacing w:after="0" w:line="240" w:lineRule="auto"/>
        <w:jc w:val="both"/>
        <w:rPr>
          <w:b/>
          <w:bCs/>
        </w:rPr>
      </w:pPr>
    </w:p>
    <w:p w14:paraId="6EEFFF1D" w14:textId="71C4D8B7" w:rsidR="00295D7B" w:rsidRPr="005D44D6" w:rsidRDefault="009F0AA6" w:rsidP="003C6E1F">
      <w:pPr>
        <w:pStyle w:val="ListParagraph"/>
        <w:numPr>
          <w:ilvl w:val="0"/>
          <w:numId w:val="18"/>
        </w:numPr>
        <w:autoSpaceDE w:val="0"/>
        <w:autoSpaceDN w:val="0"/>
        <w:adjustRightInd w:val="0"/>
        <w:spacing w:after="0" w:line="240" w:lineRule="auto"/>
        <w:jc w:val="both"/>
      </w:pPr>
      <w:r>
        <w:t xml:space="preserve">The figures demonstrate that 75% are women and </w:t>
      </w:r>
      <w:r w:rsidR="00EC4121">
        <w:t>2</w:t>
      </w:r>
      <w:r>
        <w:t>5% men in this quartile.</w:t>
      </w:r>
      <w:r w:rsidR="00394BC9" w:rsidRPr="00394BC9">
        <w:t xml:space="preserve"> </w:t>
      </w:r>
      <w:r w:rsidR="00394BC9">
        <w:t>Female staff are over representative in this quartile compared to the combined workforce of females which is 70%.</w:t>
      </w:r>
    </w:p>
    <w:p w14:paraId="5051FD63" w14:textId="7B25498A" w:rsidR="00295D7B" w:rsidRDefault="00295D7B" w:rsidP="003C6E1F">
      <w:pPr>
        <w:autoSpaceDE w:val="0"/>
        <w:autoSpaceDN w:val="0"/>
        <w:adjustRightInd w:val="0"/>
        <w:spacing w:after="0" w:line="240" w:lineRule="auto"/>
        <w:jc w:val="both"/>
        <w:rPr>
          <w:b/>
          <w:bCs/>
        </w:rPr>
      </w:pPr>
    </w:p>
    <w:p w14:paraId="74729BF3" w14:textId="54093BE0" w:rsidR="00295D7B" w:rsidRPr="00073E7C" w:rsidRDefault="00295D7B" w:rsidP="003C6E1F">
      <w:pPr>
        <w:autoSpaceDE w:val="0"/>
        <w:autoSpaceDN w:val="0"/>
        <w:adjustRightInd w:val="0"/>
        <w:spacing w:after="0" w:line="240" w:lineRule="auto"/>
        <w:jc w:val="both"/>
        <w:rPr>
          <w:b/>
          <w:bCs/>
        </w:rPr>
      </w:pPr>
      <w:r w:rsidRPr="00073E7C">
        <w:rPr>
          <w:b/>
          <w:bCs/>
        </w:rPr>
        <w:t>Q4 Upper Quartile Pay Band</w:t>
      </w:r>
    </w:p>
    <w:p w14:paraId="09DD0597" w14:textId="6231C54B" w:rsidR="00295D7B" w:rsidRDefault="00295D7B" w:rsidP="003C6E1F">
      <w:pPr>
        <w:autoSpaceDE w:val="0"/>
        <w:autoSpaceDN w:val="0"/>
        <w:adjustRightInd w:val="0"/>
        <w:spacing w:after="0" w:line="240" w:lineRule="auto"/>
        <w:jc w:val="both"/>
        <w:rPr>
          <w:b/>
          <w:bCs/>
        </w:rPr>
      </w:pPr>
    </w:p>
    <w:p w14:paraId="07C79D5E" w14:textId="0EAEF6CC" w:rsidR="00295D7B" w:rsidRDefault="009F0AA6" w:rsidP="003C6E1F">
      <w:pPr>
        <w:pStyle w:val="ListParagraph"/>
        <w:numPr>
          <w:ilvl w:val="0"/>
          <w:numId w:val="18"/>
        </w:numPr>
        <w:autoSpaceDE w:val="0"/>
        <w:autoSpaceDN w:val="0"/>
        <w:adjustRightInd w:val="0"/>
        <w:spacing w:after="0" w:line="240" w:lineRule="auto"/>
        <w:jc w:val="both"/>
      </w:pPr>
      <w:r>
        <w:t>The figures also demonstrate that 59% are women and 41% are men in this quartile.</w:t>
      </w:r>
      <w:r w:rsidR="00394BC9" w:rsidRPr="00394BC9">
        <w:t xml:space="preserve"> </w:t>
      </w:r>
      <w:r w:rsidR="00394BC9">
        <w:t>Female staff are under representative in this quartile compared to the combined workforce of females which is 70%.</w:t>
      </w:r>
    </w:p>
    <w:p w14:paraId="7203F8EE" w14:textId="77777777" w:rsidR="0073412A" w:rsidRPr="00713784" w:rsidRDefault="0073412A" w:rsidP="003C6E1F">
      <w:pPr>
        <w:autoSpaceDE w:val="0"/>
        <w:autoSpaceDN w:val="0"/>
        <w:adjustRightInd w:val="0"/>
        <w:spacing w:after="0" w:line="240" w:lineRule="auto"/>
        <w:jc w:val="both"/>
      </w:pPr>
    </w:p>
    <w:p w14:paraId="2F31D1EC" w14:textId="237C259D" w:rsidR="0073412A" w:rsidRDefault="00713784" w:rsidP="003C6E1F">
      <w:pPr>
        <w:autoSpaceDE w:val="0"/>
        <w:autoSpaceDN w:val="0"/>
        <w:adjustRightInd w:val="0"/>
        <w:spacing w:after="0" w:line="240" w:lineRule="auto"/>
        <w:jc w:val="both"/>
        <w:rPr>
          <w:b/>
          <w:bCs/>
        </w:rPr>
      </w:pPr>
      <w:r w:rsidRPr="00713784">
        <w:rPr>
          <w:b/>
          <w:bCs/>
        </w:rPr>
        <w:t>Conclusion</w:t>
      </w:r>
    </w:p>
    <w:p w14:paraId="0986A4BD" w14:textId="77777777" w:rsidR="00713784" w:rsidRDefault="00713784" w:rsidP="003C6E1F">
      <w:pPr>
        <w:autoSpaceDE w:val="0"/>
        <w:autoSpaceDN w:val="0"/>
        <w:adjustRightInd w:val="0"/>
        <w:spacing w:after="0" w:line="240" w:lineRule="auto"/>
        <w:jc w:val="both"/>
        <w:rPr>
          <w:b/>
          <w:bCs/>
        </w:rPr>
      </w:pPr>
    </w:p>
    <w:p w14:paraId="7B107AB2" w14:textId="36D4EBDF" w:rsidR="00A82A13" w:rsidRPr="00A82A13" w:rsidRDefault="00A82A13" w:rsidP="003C6E1F">
      <w:pPr>
        <w:autoSpaceDE w:val="0"/>
        <w:autoSpaceDN w:val="0"/>
        <w:adjustRightInd w:val="0"/>
        <w:spacing w:after="0" w:line="240" w:lineRule="auto"/>
        <w:jc w:val="both"/>
      </w:pPr>
      <w:r w:rsidRPr="00A82A13">
        <w:t xml:space="preserve">Females make up two thirds (70%) of the workforce. This </w:t>
      </w:r>
      <w:r>
        <w:t xml:space="preserve">generally </w:t>
      </w:r>
      <w:r w:rsidRPr="00A82A13">
        <w:t>reflects the latest available statistics from NHS Digital, which detail</w:t>
      </w:r>
      <w:r w:rsidR="008432E4">
        <w:t>s</w:t>
      </w:r>
      <w:r w:rsidRPr="00A82A13">
        <w:t xml:space="preserve"> that 76.7% of the total NHS</w:t>
      </w:r>
      <w:r w:rsidR="00621EF8">
        <w:t xml:space="preserve"> </w:t>
      </w:r>
      <w:r w:rsidRPr="00A82A13">
        <w:t>workforce are women.</w:t>
      </w:r>
    </w:p>
    <w:p w14:paraId="662E12B9" w14:textId="77777777" w:rsidR="00A82A13" w:rsidRDefault="00A82A13" w:rsidP="003C6E1F">
      <w:pPr>
        <w:autoSpaceDE w:val="0"/>
        <w:autoSpaceDN w:val="0"/>
        <w:adjustRightInd w:val="0"/>
        <w:spacing w:after="0" w:line="240" w:lineRule="auto"/>
        <w:jc w:val="both"/>
        <w:rPr>
          <w:b/>
          <w:bCs/>
        </w:rPr>
      </w:pPr>
    </w:p>
    <w:p w14:paraId="62EF3838" w14:textId="03212FFD" w:rsidR="00713784" w:rsidRPr="00713784" w:rsidRDefault="00713784" w:rsidP="003C6E1F">
      <w:pPr>
        <w:spacing w:after="0" w:line="240" w:lineRule="auto"/>
        <w:ind w:left="-5" w:right="337" w:hanging="10"/>
        <w:jc w:val="both"/>
        <w:rPr>
          <w:rFonts w:eastAsia="Calibri"/>
          <w:color w:val="000000"/>
          <w:szCs w:val="22"/>
          <w:lang w:eastAsia="en-GB"/>
        </w:rPr>
      </w:pPr>
      <w:r w:rsidRPr="00713784">
        <w:rPr>
          <w:rFonts w:eastAsia="Calibri"/>
          <w:color w:val="000000"/>
          <w:szCs w:val="22"/>
          <w:lang w:eastAsia="en-GB"/>
        </w:rPr>
        <w:lastRenderedPageBreak/>
        <w:t xml:space="preserve">The gender pay gap is showing </w:t>
      </w:r>
      <w:r w:rsidR="008432E4">
        <w:rPr>
          <w:rFonts w:eastAsia="Calibri"/>
          <w:color w:val="000000"/>
          <w:szCs w:val="22"/>
          <w:lang w:eastAsia="en-GB"/>
        </w:rPr>
        <w:t xml:space="preserve">there is </w:t>
      </w:r>
      <w:r w:rsidRPr="00713784">
        <w:rPr>
          <w:rFonts w:eastAsia="Calibri"/>
          <w:color w:val="000000"/>
          <w:szCs w:val="22"/>
          <w:lang w:eastAsia="en-GB"/>
        </w:rPr>
        <w:t>a 1</w:t>
      </w:r>
      <w:r>
        <w:rPr>
          <w:rFonts w:eastAsia="Calibri"/>
          <w:color w:val="000000"/>
          <w:szCs w:val="22"/>
          <w:lang w:eastAsia="en-GB"/>
        </w:rPr>
        <w:t>9.6</w:t>
      </w:r>
      <w:r w:rsidRPr="00713784">
        <w:rPr>
          <w:rFonts w:eastAsia="Calibri"/>
          <w:color w:val="000000"/>
          <w:szCs w:val="22"/>
          <w:lang w:eastAsia="en-GB"/>
        </w:rPr>
        <w:t xml:space="preserve">% </w:t>
      </w:r>
      <w:r w:rsidR="00621EF8">
        <w:rPr>
          <w:rFonts w:eastAsia="Calibri"/>
          <w:color w:val="000000"/>
          <w:szCs w:val="22"/>
          <w:lang w:eastAsia="en-GB"/>
        </w:rPr>
        <w:t xml:space="preserve">average </w:t>
      </w:r>
      <w:r w:rsidRPr="00713784">
        <w:rPr>
          <w:rFonts w:eastAsia="Calibri"/>
          <w:color w:val="000000"/>
          <w:szCs w:val="22"/>
          <w:lang w:eastAsia="en-GB"/>
        </w:rPr>
        <w:t>difference between males and females pay at</w:t>
      </w:r>
      <w:r>
        <w:rPr>
          <w:rFonts w:eastAsia="Calibri"/>
          <w:color w:val="000000"/>
          <w:szCs w:val="22"/>
          <w:lang w:eastAsia="en-GB"/>
        </w:rPr>
        <w:t xml:space="preserve"> LLR ICB</w:t>
      </w:r>
      <w:r w:rsidR="00EF5955">
        <w:rPr>
          <w:rFonts w:eastAsia="Calibri"/>
          <w:color w:val="000000"/>
          <w:szCs w:val="22"/>
          <w:lang w:eastAsia="en-GB"/>
        </w:rPr>
        <w:t xml:space="preserve">. </w:t>
      </w:r>
    </w:p>
    <w:p w14:paraId="46C0C766" w14:textId="77777777" w:rsidR="00A82A13" w:rsidRDefault="00A82A13" w:rsidP="00A82A13">
      <w:pPr>
        <w:autoSpaceDE w:val="0"/>
        <w:autoSpaceDN w:val="0"/>
        <w:adjustRightInd w:val="0"/>
        <w:spacing w:after="0" w:line="240" w:lineRule="auto"/>
      </w:pPr>
    </w:p>
    <w:p w14:paraId="76576692" w14:textId="275AC829" w:rsidR="005A57B0" w:rsidRPr="005A57B0" w:rsidRDefault="005A57B0" w:rsidP="003C6E1F">
      <w:pPr>
        <w:spacing w:after="0" w:line="240" w:lineRule="auto"/>
        <w:ind w:left="-6" w:right="335" w:hanging="11"/>
        <w:jc w:val="both"/>
        <w:rPr>
          <w:rFonts w:eastAsia="Calibri"/>
          <w:color w:val="000000"/>
          <w:szCs w:val="22"/>
          <w:lang w:eastAsia="en-GB"/>
        </w:rPr>
      </w:pPr>
      <w:r w:rsidRPr="005A57B0">
        <w:rPr>
          <w:rFonts w:eastAsia="Calibri"/>
          <w:color w:val="000000"/>
          <w:szCs w:val="22"/>
          <w:lang w:eastAsia="en-GB"/>
        </w:rPr>
        <w:t xml:space="preserve">Reducing </w:t>
      </w:r>
      <w:r>
        <w:rPr>
          <w:rFonts w:eastAsia="Calibri"/>
          <w:color w:val="000000"/>
          <w:szCs w:val="22"/>
          <w:lang w:eastAsia="en-GB"/>
        </w:rPr>
        <w:t>the</w:t>
      </w:r>
      <w:r w:rsidRPr="005A57B0">
        <w:rPr>
          <w:rFonts w:eastAsia="Calibri"/>
          <w:color w:val="000000"/>
          <w:szCs w:val="22"/>
          <w:lang w:eastAsia="en-GB"/>
        </w:rPr>
        <w:t xml:space="preserve"> gender pay gap </w:t>
      </w:r>
      <w:r>
        <w:rPr>
          <w:rFonts w:eastAsia="Calibri"/>
          <w:color w:val="000000"/>
          <w:szCs w:val="22"/>
          <w:lang w:eastAsia="en-GB"/>
        </w:rPr>
        <w:t xml:space="preserve">usually </w:t>
      </w:r>
      <w:r w:rsidRPr="005A57B0">
        <w:rPr>
          <w:rFonts w:eastAsia="Calibri"/>
          <w:color w:val="000000"/>
          <w:szCs w:val="22"/>
          <w:lang w:eastAsia="en-GB"/>
        </w:rPr>
        <w:t>implies either increasing the proportion of men in lower grades or increasing the proportion of women occupying the more senior roles</w:t>
      </w:r>
      <w:r w:rsidR="008432E4">
        <w:rPr>
          <w:rFonts w:eastAsia="Calibri"/>
          <w:color w:val="000000"/>
          <w:szCs w:val="22"/>
          <w:lang w:eastAsia="en-GB"/>
        </w:rPr>
        <w:t>.</w:t>
      </w:r>
      <w:r w:rsidRPr="005A57B0">
        <w:rPr>
          <w:rFonts w:eastAsia="Calibri"/>
          <w:color w:val="000000"/>
          <w:szCs w:val="22"/>
          <w:lang w:eastAsia="en-GB"/>
        </w:rPr>
        <w:t xml:space="preserve">  </w:t>
      </w:r>
    </w:p>
    <w:p w14:paraId="45C6491A" w14:textId="77777777" w:rsidR="00713784" w:rsidRDefault="00713784" w:rsidP="003C6E1F">
      <w:pPr>
        <w:autoSpaceDE w:val="0"/>
        <w:autoSpaceDN w:val="0"/>
        <w:adjustRightInd w:val="0"/>
        <w:spacing w:after="0" w:line="240" w:lineRule="auto"/>
        <w:jc w:val="both"/>
      </w:pPr>
    </w:p>
    <w:p w14:paraId="77347799" w14:textId="033555AE" w:rsidR="00C549DB" w:rsidRDefault="005A57B0" w:rsidP="003C6E1F">
      <w:pPr>
        <w:autoSpaceDE w:val="0"/>
        <w:autoSpaceDN w:val="0"/>
        <w:adjustRightInd w:val="0"/>
        <w:spacing w:after="0" w:line="240" w:lineRule="auto"/>
        <w:jc w:val="both"/>
      </w:pPr>
      <w:r w:rsidRPr="005A57B0">
        <w:t>Effective policies for closing the gender pay gap not only seek to address the factors and barriers common to all women (such as numbers in low grade jobs with low pay), they, also target the inequalities faced by women belonging to specific groups, based on characteristics such as ethnicity, age and profession</w:t>
      </w:r>
      <w:r>
        <w:t>.</w:t>
      </w:r>
    </w:p>
    <w:p w14:paraId="0CEF0756" w14:textId="77777777" w:rsidR="00790F5F" w:rsidRDefault="00790F5F" w:rsidP="003C6E1F">
      <w:pPr>
        <w:autoSpaceDE w:val="0"/>
        <w:autoSpaceDN w:val="0"/>
        <w:adjustRightInd w:val="0"/>
        <w:spacing w:after="0" w:line="240" w:lineRule="auto"/>
        <w:jc w:val="both"/>
      </w:pPr>
    </w:p>
    <w:p w14:paraId="133D8DA8" w14:textId="77777777" w:rsidR="005E732F" w:rsidRDefault="005E732F" w:rsidP="003C6E1F">
      <w:pPr>
        <w:spacing w:after="0" w:line="240" w:lineRule="auto"/>
        <w:ind w:left="360"/>
        <w:jc w:val="both"/>
        <w:rPr>
          <w:b/>
          <w:bCs/>
        </w:rPr>
      </w:pPr>
    </w:p>
    <w:p w14:paraId="14405775" w14:textId="3C7B41AB" w:rsidR="006C35C0" w:rsidRDefault="005E732F" w:rsidP="003C6E1F">
      <w:pPr>
        <w:spacing w:after="0" w:line="240" w:lineRule="auto"/>
        <w:jc w:val="both"/>
        <w:rPr>
          <w:b/>
          <w:bCs/>
        </w:rPr>
      </w:pPr>
      <w:r w:rsidRPr="00527BF4">
        <w:rPr>
          <w:b/>
          <w:bCs/>
        </w:rPr>
        <w:t xml:space="preserve">Actions from </w:t>
      </w:r>
      <w:r w:rsidR="00AF120B">
        <w:rPr>
          <w:b/>
          <w:bCs/>
        </w:rPr>
        <w:t xml:space="preserve">the </w:t>
      </w:r>
      <w:r w:rsidRPr="00527BF4">
        <w:rPr>
          <w:b/>
          <w:bCs/>
        </w:rPr>
        <w:t>O</w:t>
      </w:r>
      <w:r w:rsidR="00AF120B">
        <w:rPr>
          <w:b/>
          <w:bCs/>
        </w:rPr>
        <w:t xml:space="preserve">perational Delivery </w:t>
      </w:r>
      <w:proofErr w:type="gramStart"/>
      <w:r w:rsidR="00AF120B">
        <w:rPr>
          <w:b/>
          <w:bCs/>
        </w:rPr>
        <w:t xml:space="preserve">Group </w:t>
      </w:r>
      <w:r w:rsidRPr="00527BF4">
        <w:rPr>
          <w:b/>
          <w:bCs/>
        </w:rPr>
        <w:t>:</w:t>
      </w:r>
      <w:proofErr w:type="gramEnd"/>
      <w:r w:rsidRPr="00527BF4">
        <w:rPr>
          <w:b/>
          <w:bCs/>
        </w:rPr>
        <w:t xml:space="preserve"> </w:t>
      </w:r>
    </w:p>
    <w:p w14:paraId="26A5C6E8" w14:textId="77777777" w:rsidR="00AF120B" w:rsidRPr="00527BF4" w:rsidRDefault="00AF120B" w:rsidP="003C6E1F">
      <w:pPr>
        <w:spacing w:after="0" w:line="240" w:lineRule="auto"/>
        <w:jc w:val="both"/>
        <w:rPr>
          <w:b/>
          <w:bCs/>
        </w:rPr>
      </w:pPr>
    </w:p>
    <w:p w14:paraId="24ACBC52" w14:textId="77777777" w:rsidR="00CA5182" w:rsidRDefault="005E732F" w:rsidP="003C6E1F">
      <w:pPr>
        <w:pStyle w:val="ListParagraph"/>
        <w:numPr>
          <w:ilvl w:val="0"/>
          <w:numId w:val="25"/>
        </w:numPr>
        <w:spacing w:after="0" w:line="240" w:lineRule="auto"/>
        <w:jc w:val="both"/>
        <w:rPr>
          <w:rFonts w:eastAsia="Times New Roman"/>
        </w:rPr>
      </w:pPr>
      <w:r w:rsidRPr="00CA5182">
        <w:rPr>
          <w:rFonts w:eastAsia="Times New Roman"/>
        </w:rPr>
        <w:t>to refer to at PDRs</w:t>
      </w:r>
      <w:r w:rsidR="00CA5182" w:rsidRPr="00CA5182">
        <w:rPr>
          <w:rFonts w:eastAsia="Times New Roman"/>
        </w:rPr>
        <w:t xml:space="preserve"> to ensure managers are considering career </w:t>
      </w:r>
      <w:proofErr w:type="gramStart"/>
      <w:r w:rsidR="00CA5182" w:rsidRPr="00CA5182">
        <w:rPr>
          <w:rFonts w:eastAsia="Times New Roman"/>
        </w:rPr>
        <w:t>progression</w:t>
      </w:r>
      <w:proofErr w:type="gramEnd"/>
      <w:r w:rsidRPr="00CA5182">
        <w:rPr>
          <w:rFonts w:eastAsia="Times New Roman"/>
        </w:rPr>
        <w:t xml:space="preserve"> </w:t>
      </w:r>
    </w:p>
    <w:p w14:paraId="6ABE5A95" w14:textId="77777777" w:rsidR="00CA5182" w:rsidRDefault="005E732F" w:rsidP="003C6E1F">
      <w:pPr>
        <w:pStyle w:val="ListParagraph"/>
        <w:numPr>
          <w:ilvl w:val="0"/>
          <w:numId w:val="25"/>
        </w:numPr>
        <w:spacing w:after="0" w:line="240" w:lineRule="auto"/>
        <w:jc w:val="both"/>
        <w:rPr>
          <w:rFonts w:eastAsia="Times New Roman"/>
        </w:rPr>
      </w:pPr>
      <w:r w:rsidRPr="00CA5182">
        <w:rPr>
          <w:rFonts w:eastAsia="Times New Roman"/>
        </w:rPr>
        <w:t xml:space="preserve">to take the report to team meetings for </w:t>
      </w:r>
      <w:r w:rsidR="00527BF4" w:rsidRPr="00CA5182">
        <w:rPr>
          <w:rFonts w:eastAsia="Times New Roman"/>
        </w:rPr>
        <w:t>discussion.</w:t>
      </w:r>
      <w:r w:rsidRPr="00CA5182">
        <w:rPr>
          <w:rFonts w:eastAsia="Times New Roman"/>
        </w:rPr>
        <w:t xml:space="preserve"> </w:t>
      </w:r>
    </w:p>
    <w:p w14:paraId="3D37C1CA" w14:textId="7C7D3745" w:rsidR="005E732F" w:rsidRPr="00CA5182" w:rsidRDefault="005E732F" w:rsidP="003C6E1F">
      <w:pPr>
        <w:pStyle w:val="ListParagraph"/>
        <w:numPr>
          <w:ilvl w:val="0"/>
          <w:numId w:val="25"/>
        </w:numPr>
        <w:spacing w:after="0" w:line="240" w:lineRule="auto"/>
        <w:jc w:val="both"/>
        <w:rPr>
          <w:rFonts w:eastAsia="Times New Roman"/>
        </w:rPr>
      </w:pPr>
      <w:r w:rsidRPr="00CA5182">
        <w:rPr>
          <w:rFonts w:eastAsia="Times New Roman"/>
        </w:rPr>
        <w:t xml:space="preserve">to obtain a comparison against </w:t>
      </w:r>
      <w:r w:rsidR="00CA5182" w:rsidRPr="00CA5182">
        <w:rPr>
          <w:rFonts w:eastAsia="Times New Roman"/>
        </w:rPr>
        <w:t>other</w:t>
      </w:r>
      <w:r w:rsidRPr="00CA5182">
        <w:rPr>
          <w:rFonts w:eastAsia="Times New Roman"/>
        </w:rPr>
        <w:t xml:space="preserve"> ICB</w:t>
      </w:r>
      <w:r w:rsidR="00CA5182" w:rsidRPr="00CA5182">
        <w:rPr>
          <w:rFonts w:eastAsia="Times New Roman"/>
        </w:rPr>
        <w:t>s</w:t>
      </w:r>
      <w:r w:rsidR="006C35C0" w:rsidRPr="00CA5182">
        <w:rPr>
          <w:rFonts w:eastAsia="Times New Roman"/>
        </w:rPr>
        <w:t xml:space="preserve"> </w:t>
      </w:r>
      <w:r w:rsidR="00CA5182" w:rsidRPr="00CA5182">
        <w:rPr>
          <w:rFonts w:eastAsia="Times New Roman"/>
        </w:rPr>
        <w:t>once published</w:t>
      </w:r>
    </w:p>
    <w:p w14:paraId="1C4C1C49" w14:textId="77777777" w:rsidR="00AF120B" w:rsidRDefault="00AF120B" w:rsidP="003C6E1F">
      <w:pPr>
        <w:spacing w:after="0" w:line="240" w:lineRule="auto"/>
        <w:ind w:left="709" w:hanging="709"/>
        <w:jc w:val="both"/>
        <w:rPr>
          <w:rFonts w:eastAsia="Times New Roman"/>
        </w:rPr>
      </w:pPr>
    </w:p>
    <w:p w14:paraId="42F5E976" w14:textId="151B43C8" w:rsidR="00AF120B" w:rsidRPr="00AF120B" w:rsidRDefault="00AF120B" w:rsidP="003C6E1F">
      <w:pPr>
        <w:spacing w:after="0" w:line="240" w:lineRule="auto"/>
        <w:ind w:left="709" w:hanging="709"/>
        <w:jc w:val="both"/>
        <w:rPr>
          <w:rFonts w:eastAsia="Times New Roman"/>
          <w:b/>
          <w:bCs/>
        </w:rPr>
      </w:pPr>
      <w:r w:rsidRPr="00AF120B">
        <w:rPr>
          <w:rFonts w:eastAsia="Times New Roman"/>
          <w:b/>
          <w:bCs/>
        </w:rPr>
        <w:t>Actions from Re</w:t>
      </w:r>
      <w:r>
        <w:rPr>
          <w:rFonts w:eastAsia="Times New Roman"/>
          <w:b/>
          <w:bCs/>
        </w:rPr>
        <w:t>numeration Committee</w:t>
      </w:r>
      <w:r w:rsidRPr="00AF120B">
        <w:rPr>
          <w:rFonts w:eastAsia="Times New Roman"/>
          <w:b/>
          <w:bCs/>
        </w:rPr>
        <w:t xml:space="preserve"> and Non-Executive Directors</w:t>
      </w:r>
      <w:r w:rsidR="00025B0E">
        <w:rPr>
          <w:rFonts w:eastAsia="Times New Roman"/>
          <w:b/>
          <w:bCs/>
        </w:rPr>
        <w:t>:</w:t>
      </w:r>
    </w:p>
    <w:p w14:paraId="0E47207B" w14:textId="77777777" w:rsidR="005D7660" w:rsidRDefault="005D7660" w:rsidP="003C6E1F">
      <w:pPr>
        <w:spacing w:after="0" w:line="240" w:lineRule="auto"/>
        <w:ind w:left="709" w:hanging="709"/>
        <w:jc w:val="both"/>
        <w:rPr>
          <w:rFonts w:eastAsia="Times New Roman"/>
        </w:rPr>
      </w:pPr>
    </w:p>
    <w:p w14:paraId="54638580" w14:textId="5F2334F0" w:rsidR="005D7660" w:rsidRPr="00CA5182" w:rsidRDefault="005D7660" w:rsidP="003C6E1F">
      <w:pPr>
        <w:pStyle w:val="ListParagraph"/>
        <w:numPr>
          <w:ilvl w:val="0"/>
          <w:numId w:val="25"/>
        </w:numPr>
        <w:spacing w:after="0" w:line="240" w:lineRule="auto"/>
        <w:jc w:val="both"/>
        <w:rPr>
          <w:rFonts w:eastAsia="Times New Roman"/>
        </w:rPr>
      </w:pPr>
      <w:r w:rsidRPr="00CA5182">
        <w:rPr>
          <w:rFonts w:eastAsia="Times New Roman"/>
        </w:rPr>
        <w:t xml:space="preserve">Explore the data further to understand the impact if </w:t>
      </w:r>
      <w:r w:rsidR="00CA5182" w:rsidRPr="00CA5182">
        <w:rPr>
          <w:rFonts w:eastAsia="Times New Roman"/>
        </w:rPr>
        <w:t>the</w:t>
      </w:r>
      <w:r w:rsidRPr="00CA5182">
        <w:rPr>
          <w:rFonts w:eastAsia="Times New Roman"/>
        </w:rPr>
        <w:t xml:space="preserve"> medical</w:t>
      </w:r>
    </w:p>
    <w:p w14:paraId="1EF44C54" w14:textId="77777777" w:rsidR="00CA5182" w:rsidRDefault="00AF120B" w:rsidP="003C6E1F">
      <w:pPr>
        <w:spacing w:after="0" w:line="240" w:lineRule="auto"/>
        <w:ind w:left="709" w:hanging="709"/>
        <w:jc w:val="both"/>
        <w:rPr>
          <w:rFonts w:eastAsia="Times New Roman"/>
        </w:rPr>
      </w:pPr>
      <w:r>
        <w:rPr>
          <w:rFonts w:eastAsia="Times New Roman"/>
        </w:rPr>
        <w:t xml:space="preserve">           </w:t>
      </w:r>
      <w:r w:rsidR="00CA5182" w:rsidRPr="005D7660">
        <w:rPr>
          <w:rFonts w:eastAsia="Times New Roman"/>
        </w:rPr>
        <w:t>W</w:t>
      </w:r>
      <w:r w:rsidR="005D7660" w:rsidRPr="005D7660">
        <w:rPr>
          <w:rFonts w:eastAsia="Times New Roman"/>
        </w:rPr>
        <w:t>orkforce</w:t>
      </w:r>
      <w:r w:rsidR="00CA5182">
        <w:rPr>
          <w:rFonts w:eastAsia="Times New Roman"/>
        </w:rPr>
        <w:t xml:space="preserve"> is removed</w:t>
      </w:r>
      <w:r w:rsidR="005D7660" w:rsidRPr="005D7660">
        <w:rPr>
          <w:rFonts w:eastAsia="Times New Roman"/>
        </w:rPr>
        <w:t>, therefore understanding the focus of the discussions</w:t>
      </w:r>
      <w:r w:rsidR="00CA5182">
        <w:rPr>
          <w:rFonts w:eastAsia="Times New Roman"/>
        </w:rPr>
        <w:t xml:space="preserve"> </w:t>
      </w:r>
      <w:r w:rsidR="005D7660" w:rsidRPr="005D7660">
        <w:rPr>
          <w:rFonts w:eastAsia="Times New Roman"/>
        </w:rPr>
        <w:t>to close the</w:t>
      </w:r>
      <w:r w:rsidR="00CA5182">
        <w:rPr>
          <w:rFonts w:eastAsia="Times New Roman"/>
        </w:rPr>
        <w:t xml:space="preserve"> </w:t>
      </w:r>
      <w:r>
        <w:rPr>
          <w:rFonts w:eastAsia="Times New Roman"/>
        </w:rPr>
        <w:t>gap</w:t>
      </w:r>
      <w:r w:rsidR="00DE59CB">
        <w:rPr>
          <w:rFonts w:eastAsia="Times New Roman"/>
        </w:rPr>
        <w:t>.</w:t>
      </w:r>
      <w:r w:rsidR="005D7660" w:rsidRPr="005D7660">
        <w:rPr>
          <w:rFonts w:eastAsia="Times New Roman"/>
        </w:rPr>
        <w:t xml:space="preserve"> </w:t>
      </w:r>
      <w:r>
        <w:rPr>
          <w:rFonts w:eastAsia="Times New Roman"/>
        </w:rPr>
        <w:t xml:space="preserve">   </w:t>
      </w:r>
    </w:p>
    <w:p w14:paraId="15295029" w14:textId="77777777" w:rsidR="00CA5182" w:rsidRDefault="00CA5182" w:rsidP="005D7660">
      <w:pPr>
        <w:spacing w:after="0" w:line="240" w:lineRule="auto"/>
        <w:rPr>
          <w:rFonts w:eastAsia="Times New Roman"/>
        </w:rPr>
      </w:pPr>
    </w:p>
    <w:p w14:paraId="06D07629" w14:textId="14992266" w:rsidR="005D7660" w:rsidRDefault="00AF120B" w:rsidP="003C6E1F">
      <w:pPr>
        <w:pStyle w:val="ListParagraph"/>
        <w:numPr>
          <w:ilvl w:val="0"/>
          <w:numId w:val="25"/>
        </w:numPr>
        <w:spacing w:after="0" w:line="240" w:lineRule="auto"/>
        <w:jc w:val="both"/>
        <w:rPr>
          <w:rFonts w:eastAsia="Times New Roman"/>
        </w:rPr>
      </w:pPr>
      <w:r w:rsidRPr="00CA5182">
        <w:rPr>
          <w:rFonts w:eastAsia="Times New Roman"/>
        </w:rPr>
        <w:t>The l</w:t>
      </w:r>
      <w:r w:rsidR="005D7660" w:rsidRPr="00CA5182">
        <w:rPr>
          <w:rFonts w:eastAsia="Times New Roman"/>
        </w:rPr>
        <w:t>argest pay gender gap is</w:t>
      </w:r>
      <w:r w:rsidR="00CA5182">
        <w:rPr>
          <w:rFonts w:eastAsia="Times New Roman"/>
        </w:rPr>
        <w:t xml:space="preserve"> in lower bands (apprentice, band 2 and band 3) due to men not being represented sufficiently in these posts. An </w:t>
      </w:r>
      <w:r w:rsidR="005D7660" w:rsidRPr="00CA5182">
        <w:rPr>
          <w:rFonts w:eastAsia="Times New Roman"/>
        </w:rPr>
        <w:t>action to consider future attraction campaigns to roles that may not be</w:t>
      </w:r>
      <w:r w:rsidRPr="00CA5182">
        <w:rPr>
          <w:rFonts w:eastAsia="Times New Roman"/>
        </w:rPr>
        <w:t xml:space="preserve"> </w:t>
      </w:r>
      <w:r w:rsidR="005D7660" w:rsidRPr="00CA5182">
        <w:rPr>
          <w:rFonts w:eastAsia="Times New Roman"/>
        </w:rPr>
        <w:t>considere</w:t>
      </w:r>
      <w:r w:rsidR="00CA5182">
        <w:rPr>
          <w:rFonts w:eastAsia="Times New Roman"/>
        </w:rPr>
        <w:t>d</w:t>
      </w:r>
      <w:r w:rsidR="005D7660" w:rsidRPr="00CA5182">
        <w:rPr>
          <w:rFonts w:eastAsia="Times New Roman"/>
        </w:rPr>
        <w:t xml:space="preserve"> traditionally male role</w:t>
      </w:r>
      <w:r w:rsidR="00CA5182">
        <w:rPr>
          <w:rFonts w:eastAsia="Times New Roman"/>
        </w:rPr>
        <w:t>s.  Focus to be placed on the detail of the data understanding the impact of apprentices, entry levels for future development into more senior positions</w:t>
      </w:r>
      <w:r w:rsidR="00A74FC2">
        <w:rPr>
          <w:rFonts w:eastAsia="Times New Roman"/>
        </w:rPr>
        <w:t>.</w:t>
      </w:r>
    </w:p>
    <w:p w14:paraId="51C964B1" w14:textId="77777777" w:rsidR="005D44D6" w:rsidRPr="00CA5182" w:rsidRDefault="005D44D6" w:rsidP="005D44D6">
      <w:pPr>
        <w:pStyle w:val="ListParagraph"/>
        <w:spacing w:after="0" w:line="240" w:lineRule="auto"/>
        <w:jc w:val="both"/>
        <w:rPr>
          <w:rFonts w:eastAsia="Times New Roman"/>
        </w:rPr>
      </w:pPr>
    </w:p>
    <w:p w14:paraId="27A86460" w14:textId="3C89BA4D" w:rsidR="00AF120B" w:rsidRPr="00CA5182" w:rsidRDefault="005D7660" w:rsidP="003C6E1F">
      <w:pPr>
        <w:pStyle w:val="ListParagraph"/>
        <w:numPr>
          <w:ilvl w:val="0"/>
          <w:numId w:val="25"/>
        </w:numPr>
        <w:spacing w:after="0" w:line="240" w:lineRule="auto"/>
        <w:jc w:val="both"/>
        <w:rPr>
          <w:rFonts w:eastAsia="Times New Roman"/>
        </w:rPr>
      </w:pPr>
      <w:r w:rsidRPr="00CA5182">
        <w:rPr>
          <w:rFonts w:eastAsia="Times New Roman"/>
        </w:rPr>
        <w:t xml:space="preserve">Consider the drivers of career breaks due to caring responsibilities and </w:t>
      </w:r>
    </w:p>
    <w:p w14:paraId="138C448A" w14:textId="77777777" w:rsidR="00CA5182" w:rsidRDefault="005D7660" w:rsidP="003C6E1F">
      <w:pPr>
        <w:spacing w:after="0" w:line="240" w:lineRule="auto"/>
        <w:ind w:left="709"/>
        <w:jc w:val="both"/>
        <w:rPr>
          <w:rFonts w:eastAsia="Times New Roman"/>
        </w:rPr>
      </w:pPr>
      <w:r w:rsidRPr="005D7660">
        <w:rPr>
          <w:rFonts w:eastAsia="Times New Roman"/>
        </w:rPr>
        <w:t xml:space="preserve">maternity leave, whether the drivers for career progression are linked to these responsibilities that are traditionally orientated towards women and whether a </w:t>
      </w:r>
      <w:r w:rsidR="00AF120B" w:rsidRPr="005D7660">
        <w:rPr>
          <w:rFonts w:eastAsia="Times New Roman"/>
        </w:rPr>
        <w:t>fast-track</w:t>
      </w:r>
      <w:r w:rsidRPr="005D7660">
        <w:rPr>
          <w:rFonts w:eastAsia="Times New Roman"/>
        </w:rPr>
        <w:t xml:space="preserve"> career approach could be implemented to close the gap</w:t>
      </w:r>
      <w:r w:rsidR="00AF120B">
        <w:rPr>
          <w:rFonts w:eastAsia="Times New Roman"/>
        </w:rPr>
        <w:t>.</w:t>
      </w:r>
    </w:p>
    <w:p w14:paraId="0F58C3D4" w14:textId="77777777" w:rsidR="00CA5182" w:rsidRDefault="00CA5182" w:rsidP="003C6E1F">
      <w:pPr>
        <w:spacing w:after="0" w:line="240" w:lineRule="auto"/>
        <w:jc w:val="both"/>
        <w:rPr>
          <w:rFonts w:eastAsia="Times New Roman"/>
        </w:rPr>
      </w:pPr>
    </w:p>
    <w:p w14:paraId="090D3DD5" w14:textId="16DBE334" w:rsidR="005D7660" w:rsidRPr="00CA5182" w:rsidRDefault="005D7660" w:rsidP="003C6E1F">
      <w:pPr>
        <w:pStyle w:val="ListParagraph"/>
        <w:numPr>
          <w:ilvl w:val="0"/>
          <w:numId w:val="25"/>
        </w:numPr>
        <w:spacing w:after="0" w:line="240" w:lineRule="auto"/>
        <w:jc w:val="both"/>
        <w:rPr>
          <w:rFonts w:eastAsia="Times New Roman"/>
        </w:rPr>
      </w:pPr>
      <w:r w:rsidRPr="00CA5182">
        <w:rPr>
          <w:rFonts w:eastAsia="Times New Roman"/>
        </w:rPr>
        <w:t>ICB to continue with national and local programmes to support women in leadership positions (LLR Women in Clinical Leadership network and national BAME women mentorship programme for Primary Care)</w:t>
      </w:r>
      <w:r w:rsidR="00DE59CB" w:rsidRPr="00CA5182">
        <w:rPr>
          <w:rFonts w:eastAsia="Times New Roman"/>
        </w:rPr>
        <w:t>.</w:t>
      </w:r>
    </w:p>
    <w:p w14:paraId="71C8A814" w14:textId="77777777" w:rsidR="0011715A" w:rsidRDefault="0011715A" w:rsidP="003C6E1F">
      <w:pPr>
        <w:autoSpaceDE w:val="0"/>
        <w:autoSpaceDN w:val="0"/>
        <w:adjustRightInd w:val="0"/>
        <w:spacing w:after="0" w:line="240" w:lineRule="auto"/>
        <w:jc w:val="both"/>
        <w:rPr>
          <w:b/>
          <w:bCs/>
        </w:rPr>
      </w:pPr>
    </w:p>
    <w:p w14:paraId="1EC0A7E2" w14:textId="074C62FA" w:rsidR="00790F5F" w:rsidRPr="008307EF" w:rsidRDefault="008307EF" w:rsidP="003C6E1F">
      <w:pPr>
        <w:pStyle w:val="ListParagraph"/>
        <w:numPr>
          <w:ilvl w:val="0"/>
          <w:numId w:val="25"/>
        </w:numPr>
        <w:autoSpaceDE w:val="0"/>
        <w:autoSpaceDN w:val="0"/>
        <w:adjustRightInd w:val="0"/>
        <w:spacing w:after="0" w:line="240" w:lineRule="auto"/>
        <w:jc w:val="both"/>
      </w:pPr>
      <w:r w:rsidRPr="008307EF">
        <w:t>That t</w:t>
      </w:r>
      <w:r w:rsidR="0011715A" w:rsidRPr="008307EF">
        <w:t xml:space="preserve">hese actions </w:t>
      </w:r>
      <w:r w:rsidR="009D7496" w:rsidRPr="008307EF">
        <w:t xml:space="preserve">together with the data and reports for 2023 &amp; 2024 </w:t>
      </w:r>
      <w:r w:rsidR="0011715A" w:rsidRPr="008307EF">
        <w:t>will then be discussed and developed at the</w:t>
      </w:r>
      <w:r w:rsidR="00A379FA" w:rsidRPr="008307EF">
        <w:t xml:space="preserve"> LLR ICB People Forum</w:t>
      </w:r>
      <w:r w:rsidR="00802AB7">
        <w:t xml:space="preserve"> during 2024.</w:t>
      </w:r>
    </w:p>
    <w:p w14:paraId="606AFD0D" w14:textId="77777777" w:rsidR="005D7660" w:rsidRDefault="005D7660" w:rsidP="008307EF">
      <w:pPr>
        <w:autoSpaceDE w:val="0"/>
        <w:autoSpaceDN w:val="0"/>
        <w:adjustRightInd w:val="0"/>
        <w:spacing w:after="0" w:line="240" w:lineRule="auto"/>
        <w:rPr>
          <w:b/>
          <w:bCs/>
        </w:rPr>
      </w:pPr>
    </w:p>
    <w:p w14:paraId="596651D7" w14:textId="40CC77E4" w:rsidR="008307EF" w:rsidRDefault="008307EF" w:rsidP="008307EF">
      <w:pPr>
        <w:autoSpaceDE w:val="0"/>
        <w:autoSpaceDN w:val="0"/>
        <w:adjustRightInd w:val="0"/>
        <w:spacing w:after="0" w:line="240" w:lineRule="auto"/>
        <w:rPr>
          <w:b/>
          <w:bCs/>
        </w:rPr>
      </w:pPr>
      <w:r>
        <w:rPr>
          <w:b/>
          <w:bCs/>
        </w:rPr>
        <w:t>Recommendation:</w:t>
      </w:r>
    </w:p>
    <w:p w14:paraId="1A513069" w14:textId="77777777" w:rsidR="005D7660" w:rsidRDefault="005D7660" w:rsidP="008307EF">
      <w:pPr>
        <w:autoSpaceDE w:val="0"/>
        <w:autoSpaceDN w:val="0"/>
        <w:adjustRightInd w:val="0"/>
        <w:spacing w:after="0" w:line="240" w:lineRule="auto"/>
        <w:rPr>
          <w:b/>
          <w:bCs/>
        </w:rPr>
      </w:pPr>
    </w:p>
    <w:p w14:paraId="3030029E" w14:textId="77777777" w:rsidR="005D7660" w:rsidRDefault="008307EF" w:rsidP="0073412A">
      <w:pPr>
        <w:autoSpaceDE w:val="0"/>
        <w:autoSpaceDN w:val="0"/>
        <w:adjustRightInd w:val="0"/>
        <w:spacing w:after="0" w:line="240" w:lineRule="auto"/>
        <w:rPr>
          <w:b/>
          <w:bCs/>
        </w:rPr>
      </w:pPr>
      <w:r>
        <w:rPr>
          <w:b/>
          <w:bCs/>
        </w:rPr>
        <w:t>That the ICB Board approves the Gender Pay Gap Report for publishing on the ICB Website.</w:t>
      </w:r>
      <w:r w:rsidR="00527BF4">
        <w:rPr>
          <w:b/>
          <w:bCs/>
        </w:rPr>
        <w:t xml:space="preserve"> </w:t>
      </w:r>
      <w:r w:rsidR="00C549DB" w:rsidRPr="00C549DB">
        <w:rPr>
          <w:b/>
          <w:bCs/>
        </w:rPr>
        <w:t xml:space="preserve"> </w:t>
      </w:r>
    </w:p>
    <w:p w14:paraId="25ADD412" w14:textId="77777777" w:rsidR="005D7660" w:rsidRDefault="005D7660" w:rsidP="0073412A">
      <w:pPr>
        <w:autoSpaceDE w:val="0"/>
        <w:autoSpaceDN w:val="0"/>
        <w:adjustRightInd w:val="0"/>
        <w:spacing w:after="0" w:line="240" w:lineRule="auto"/>
        <w:rPr>
          <w:b/>
          <w:bCs/>
        </w:rPr>
      </w:pPr>
    </w:p>
    <w:p w14:paraId="66E5F60C" w14:textId="338B73A8" w:rsidR="00C549DB" w:rsidRPr="00C549DB" w:rsidRDefault="005D7660" w:rsidP="0073412A">
      <w:pPr>
        <w:autoSpaceDE w:val="0"/>
        <w:autoSpaceDN w:val="0"/>
        <w:adjustRightInd w:val="0"/>
        <w:spacing w:after="0" w:line="240" w:lineRule="auto"/>
        <w:rPr>
          <w:b/>
          <w:bCs/>
        </w:rPr>
      </w:pPr>
      <w:r>
        <w:rPr>
          <w:b/>
          <w:bCs/>
        </w:rPr>
        <w:t>0</w:t>
      </w:r>
      <w:r w:rsidR="00A41535">
        <w:rPr>
          <w:b/>
          <w:bCs/>
        </w:rPr>
        <w:t>8</w:t>
      </w:r>
      <w:r>
        <w:rPr>
          <w:b/>
          <w:bCs/>
        </w:rPr>
        <w:t>/0</w:t>
      </w:r>
      <w:r w:rsidR="00A41535">
        <w:rPr>
          <w:b/>
          <w:bCs/>
        </w:rPr>
        <w:t>2</w:t>
      </w:r>
      <w:r>
        <w:rPr>
          <w:b/>
          <w:bCs/>
        </w:rPr>
        <w:t xml:space="preserve">/24 </w:t>
      </w:r>
      <w:r w:rsidR="00A41535">
        <w:rPr>
          <w:b/>
          <w:bCs/>
        </w:rPr>
        <w:t xml:space="preserve">v5 </w:t>
      </w:r>
      <w:r>
        <w:rPr>
          <w:b/>
          <w:bCs/>
        </w:rPr>
        <w:t>Final Draft</w:t>
      </w:r>
    </w:p>
    <w:sectPr w:rsidR="00C549DB" w:rsidRPr="00C549DB" w:rsidSect="00C50A2F">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0935" w14:textId="77777777" w:rsidR="00C50A2F" w:rsidRDefault="00C50A2F" w:rsidP="005241EC">
      <w:pPr>
        <w:spacing w:after="0" w:line="240" w:lineRule="auto"/>
      </w:pPr>
      <w:r>
        <w:separator/>
      </w:r>
    </w:p>
  </w:endnote>
  <w:endnote w:type="continuationSeparator" w:id="0">
    <w:p w14:paraId="44137DDE" w14:textId="77777777" w:rsidR="00C50A2F" w:rsidRDefault="00C50A2F" w:rsidP="005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F3A" w14:textId="77777777" w:rsidR="00C549DB" w:rsidRDefault="00C54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85938"/>
      <w:docPartObj>
        <w:docPartGallery w:val="Page Numbers (Bottom of Page)"/>
        <w:docPartUnique/>
      </w:docPartObj>
    </w:sdtPr>
    <w:sdtEndPr>
      <w:rPr>
        <w:noProof/>
      </w:rPr>
    </w:sdtEndPr>
    <w:sdtContent>
      <w:p w14:paraId="7D643E00" w14:textId="10BED34E" w:rsidR="005241EC" w:rsidRDefault="005241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61CA8" w14:textId="77777777" w:rsidR="005241EC" w:rsidRDefault="00524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05EC" w14:textId="77777777" w:rsidR="00C549DB" w:rsidRDefault="00C5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FF27" w14:textId="77777777" w:rsidR="00C50A2F" w:rsidRDefault="00C50A2F" w:rsidP="005241EC">
      <w:pPr>
        <w:spacing w:after="0" w:line="240" w:lineRule="auto"/>
      </w:pPr>
      <w:r>
        <w:separator/>
      </w:r>
    </w:p>
  </w:footnote>
  <w:footnote w:type="continuationSeparator" w:id="0">
    <w:p w14:paraId="64D247FD" w14:textId="77777777" w:rsidR="00C50A2F" w:rsidRDefault="00C50A2F" w:rsidP="0052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005C" w14:textId="30BC7F34" w:rsidR="00C549DB" w:rsidRDefault="00C5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AA4A" w14:textId="4A68CAA7" w:rsidR="00C549DB" w:rsidRDefault="00C54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4D2B" w14:textId="34D6D52A" w:rsidR="00C549DB" w:rsidRDefault="00C5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1C5"/>
    <w:multiLevelType w:val="hybridMultilevel"/>
    <w:tmpl w:val="586E0F26"/>
    <w:lvl w:ilvl="0" w:tplc="08090001">
      <w:start w:val="1"/>
      <w:numFmt w:val="bullet"/>
      <w:lvlText w:val=""/>
      <w:lvlJc w:val="left"/>
      <w:pPr>
        <w:ind w:left="720" w:hanging="360"/>
      </w:pPr>
      <w:rPr>
        <w:rFonts w:ascii="Symbol" w:hAnsi="Symbol" w:hint="default"/>
      </w:rPr>
    </w:lvl>
    <w:lvl w:ilvl="1" w:tplc="7256E7A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7597"/>
    <w:multiLevelType w:val="hybridMultilevel"/>
    <w:tmpl w:val="02CC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24051"/>
    <w:multiLevelType w:val="hybridMultilevel"/>
    <w:tmpl w:val="4464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288F"/>
    <w:multiLevelType w:val="hybridMultilevel"/>
    <w:tmpl w:val="529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6693F"/>
    <w:multiLevelType w:val="hybridMultilevel"/>
    <w:tmpl w:val="AA3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60807"/>
    <w:multiLevelType w:val="hybridMultilevel"/>
    <w:tmpl w:val="2BF4B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C01B2"/>
    <w:multiLevelType w:val="hybridMultilevel"/>
    <w:tmpl w:val="AC969B82"/>
    <w:lvl w:ilvl="0" w:tplc="60168A6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1B6031"/>
    <w:multiLevelType w:val="hybridMultilevel"/>
    <w:tmpl w:val="F39E9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033BF"/>
    <w:multiLevelType w:val="hybridMultilevel"/>
    <w:tmpl w:val="BC3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C5A19"/>
    <w:multiLevelType w:val="hybridMultilevel"/>
    <w:tmpl w:val="49CC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E557D"/>
    <w:multiLevelType w:val="hybridMultilevel"/>
    <w:tmpl w:val="E9D4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85CFD"/>
    <w:multiLevelType w:val="hybridMultilevel"/>
    <w:tmpl w:val="5CF0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82373"/>
    <w:multiLevelType w:val="hybridMultilevel"/>
    <w:tmpl w:val="D0D0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B48CD"/>
    <w:multiLevelType w:val="hybridMultilevel"/>
    <w:tmpl w:val="B20AD57A"/>
    <w:lvl w:ilvl="0" w:tplc="08090001">
      <w:start w:val="1"/>
      <w:numFmt w:val="bullet"/>
      <w:lvlText w:val=""/>
      <w:lvlJc w:val="left"/>
      <w:pPr>
        <w:ind w:left="720" w:hanging="360"/>
      </w:pPr>
      <w:rPr>
        <w:rFonts w:ascii="Symbol" w:hAnsi="Symbol" w:hint="default"/>
      </w:rPr>
    </w:lvl>
    <w:lvl w:ilvl="1" w:tplc="58A2C4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65753"/>
    <w:multiLevelType w:val="hybridMultilevel"/>
    <w:tmpl w:val="A182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252B5"/>
    <w:multiLevelType w:val="hybridMultilevel"/>
    <w:tmpl w:val="60123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154CA"/>
    <w:multiLevelType w:val="hybridMultilevel"/>
    <w:tmpl w:val="20CC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84E09"/>
    <w:multiLevelType w:val="hybridMultilevel"/>
    <w:tmpl w:val="DB584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6B5D3E"/>
    <w:multiLevelType w:val="hybridMultilevel"/>
    <w:tmpl w:val="6F765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D0CB3"/>
    <w:multiLevelType w:val="hybridMultilevel"/>
    <w:tmpl w:val="CFF0B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617CF"/>
    <w:multiLevelType w:val="hybridMultilevel"/>
    <w:tmpl w:val="200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D491C"/>
    <w:multiLevelType w:val="hybridMultilevel"/>
    <w:tmpl w:val="FAF0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13387"/>
    <w:multiLevelType w:val="hybridMultilevel"/>
    <w:tmpl w:val="227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B192C"/>
    <w:multiLevelType w:val="hybridMultilevel"/>
    <w:tmpl w:val="12E40650"/>
    <w:lvl w:ilvl="0" w:tplc="D152B1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55256791">
    <w:abstractNumId w:val="11"/>
  </w:num>
  <w:num w:numId="2" w16cid:durableId="2141264926">
    <w:abstractNumId w:val="13"/>
  </w:num>
  <w:num w:numId="3" w16cid:durableId="1506433533">
    <w:abstractNumId w:val="3"/>
  </w:num>
  <w:num w:numId="4" w16cid:durableId="576523952">
    <w:abstractNumId w:val="9"/>
  </w:num>
  <w:num w:numId="5" w16cid:durableId="777991810">
    <w:abstractNumId w:val="14"/>
  </w:num>
  <w:num w:numId="6" w16cid:durableId="797064269">
    <w:abstractNumId w:val="1"/>
  </w:num>
  <w:num w:numId="7" w16cid:durableId="1698234801">
    <w:abstractNumId w:val="2"/>
  </w:num>
  <w:num w:numId="8" w16cid:durableId="1527476163">
    <w:abstractNumId w:val="16"/>
  </w:num>
  <w:num w:numId="9" w16cid:durableId="1624145516">
    <w:abstractNumId w:val="8"/>
  </w:num>
  <w:num w:numId="10" w16cid:durableId="2037581453">
    <w:abstractNumId w:val="20"/>
  </w:num>
  <w:num w:numId="11" w16cid:durableId="863440569">
    <w:abstractNumId w:val="21"/>
  </w:num>
  <w:num w:numId="12" w16cid:durableId="1839340528">
    <w:abstractNumId w:val="0"/>
  </w:num>
  <w:num w:numId="13" w16cid:durableId="2026443799">
    <w:abstractNumId w:val="19"/>
  </w:num>
  <w:num w:numId="14" w16cid:durableId="1663243348">
    <w:abstractNumId w:val="4"/>
  </w:num>
  <w:num w:numId="15" w16cid:durableId="957953692">
    <w:abstractNumId w:val="10"/>
  </w:num>
  <w:num w:numId="16" w16cid:durableId="629479491">
    <w:abstractNumId w:val="22"/>
  </w:num>
  <w:num w:numId="17" w16cid:durableId="2135562236">
    <w:abstractNumId w:val="15"/>
  </w:num>
  <w:num w:numId="18" w16cid:durableId="581108934">
    <w:abstractNumId w:val="12"/>
  </w:num>
  <w:num w:numId="19" w16cid:durableId="476798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6309657">
    <w:abstractNumId w:val="18"/>
  </w:num>
  <w:num w:numId="21" w16cid:durableId="1521967456">
    <w:abstractNumId w:val="6"/>
  </w:num>
  <w:num w:numId="22" w16cid:durableId="1888491438">
    <w:abstractNumId w:val="5"/>
  </w:num>
  <w:num w:numId="23" w16cid:durableId="298610372">
    <w:abstractNumId w:val="7"/>
  </w:num>
  <w:num w:numId="24" w16cid:durableId="187377347">
    <w:abstractNumId w:val="23"/>
  </w:num>
  <w:num w:numId="25" w16cid:durableId="6907612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E8"/>
    <w:rsid w:val="00025B0E"/>
    <w:rsid w:val="00047463"/>
    <w:rsid w:val="00073E7C"/>
    <w:rsid w:val="00093A85"/>
    <w:rsid w:val="000960A3"/>
    <w:rsid w:val="000A71CC"/>
    <w:rsid w:val="000E75B0"/>
    <w:rsid w:val="0011715A"/>
    <w:rsid w:val="00142EC9"/>
    <w:rsid w:val="0016165B"/>
    <w:rsid w:val="001B092D"/>
    <w:rsid w:val="001C3FAE"/>
    <w:rsid w:val="001D2137"/>
    <w:rsid w:val="001E1C95"/>
    <w:rsid w:val="002242BD"/>
    <w:rsid w:val="002350E8"/>
    <w:rsid w:val="002412EE"/>
    <w:rsid w:val="00274F18"/>
    <w:rsid w:val="00286E61"/>
    <w:rsid w:val="002914AF"/>
    <w:rsid w:val="00295D7B"/>
    <w:rsid w:val="002A3F0C"/>
    <w:rsid w:val="002B608F"/>
    <w:rsid w:val="002D0701"/>
    <w:rsid w:val="002D4E8A"/>
    <w:rsid w:val="002D699F"/>
    <w:rsid w:val="00316437"/>
    <w:rsid w:val="0033505B"/>
    <w:rsid w:val="00355611"/>
    <w:rsid w:val="00370C6F"/>
    <w:rsid w:val="003744E6"/>
    <w:rsid w:val="00394BC9"/>
    <w:rsid w:val="003A2FA9"/>
    <w:rsid w:val="003A4B3E"/>
    <w:rsid w:val="003A52C4"/>
    <w:rsid w:val="003A5B10"/>
    <w:rsid w:val="003B21C0"/>
    <w:rsid w:val="003C6E1F"/>
    <w:rsid w:val="003C7786"/>
    <w:rsid w:val="003E33C5"/>
    <w:rsid w:val="003E62E1"/>
    <w:rsid w:val="004029FF"/>
    <w:rsid w:val="004043F8"/>
    <w:rsid w:val="004159CF"/>
    <w:rsid w:val="00427722"/>
    <w:rsid w:val="00432C02"/>
    <w:rsid w:val="00433115"/>
    <w:rsid w:val="00443FE5"/>
    <w:rsid w:val="00445F8C"/>
    <w:rsid w:val="00465D97"/>
    <w:rsid w:val="0049377D"/>
    <w:rsid w:val="004A206B"/>
    <w:rsid w:val="004A26F7"/>
    <w:rsid w:val="004D07D5"/>
    <w:rsid w:val="004D428D"/>
    <w:rsid w:val="004E2A78"/>
    <w:rsid w:val="004E72CB"/>
    <w:rsid w:val="004F6ECE"/>
    <w:rsid w:val="00502FFE"/>
    <w:rsid w:val="005241EC"/>
    <w:rsid w:val="00527BF4"/>
    <w:rsid w:val="00531728"/>
    <w:rsid w:val="00551AC5"/>
    <w:rsid w:val="00597969"/>
    <w:rsid w:val="005A47C4"/>
    <w:rsid w:val="005A57B0"/>
    <w:rsid w:val="005C4A0F"/>
    <w:rsid w:val="005D44D6"/>
    <w:rsid w:val="005D7660"/>
    <w:rsid w:val="005E732F"/>
    <w:rsid w:val="005E77E6"/>
    <w:rsid w:val="00621EF8"/>
    <w:rsid w:val="00642C50"/>
    <w:rsid w:val="00645C1C"/>
    <w:rsid w:val="0065503A"/>
    <w:rsid w:val="00672F45"/>
    <w:rsid w:val="006C35C0"/>
    <w:rsid w:val="006C6BD2"/>
    <w:rsid w:val="00713784"/>
    <w:rsid w:val="007249AE"/>
    <w:rsid w:val="0073412A"/>
    <w:rsid w:val="0074141F"/>
    <w:rsid w:val="007566C8"/>
    <w:rsid w:val="00757B9F"/>
    <w:rsid w:val="00790F5F"/>
    <w:rsid w:val="00791969"/>
    <w:rsid w:val="007948BC"/>
    <w:rsid w:val="007B6BA7"/>
    <w:rsid w:val="007D4950"/>
    <w:rsid w:val="007F773C"/>
    <w:rsid w:val="00802AB7"/>
    <w:rsid w:val="0082109D"/>
    <w:rsid w:val="008307EF"/>
    <w:rsid w:val="008314BE"/>
    <w:rsid w:val="00837355"/>
    <w:rsid w:val="008430F8"/>
    <w:rsid w:val="008432E4"/>
    <w:rsid w:val="00844E65"/>
    <w:rsid w:val="00866F18"/>
    <w:rsid w:val="00873804"/>
    <w:rsid w:val="008762E0"/>
    <w:rsid w:val="008C0EFB"/>
    <w:rsid w:val="008D712E"/>
    <w:rsid w:val="008E702C"/>
    <w:rsid w:val="009025EB"/>
    <w:rsid w:val="00941E96"/>
    <w:rsid w:val="00942421"/>
    <w:rsid w:val="00970031"/>
    <w:rsid w:val="009805D8"/>
    <w:rsid w:val="009A5616"/>
    <w:rsid w:val="009B7FB0"/>
    <w:rsid w:val="009C5D30"/>
    <w:rsid w:val="009D7496"/>
    <w:rsid w:val="009E328B"/>
    <w:rsid w:val="009E38F8"/>
    <w:rsid w:val="009E3CF8"/>
    <w:rsid w:val="009E4E24"/>
    <w:rsid w:val="009F0AA6"/>
    <w:rsid w:val="00A0265E"/>
    <w:rsid w:val="00A03AE2"/>
    <w:rsid w:val="00A23E86"/>
    <w:rsid w:val="00A379FA"/>
    <w:rsid w:val="00A41535"/>
    <w:rsid w:val="00A42446"/>
    <w:rsid w:val="00A715A0"/>
    <w:rsid w:val="00A726A0"/>
    <w:rsid w:val="00A745EA"/>
    <w:rsid w:val="00A74A55"/>
    <w:rsid w:val="00A74FC2"/>
    <w:rsid w:val="00A82A13"/>
    <w:rsid w:val="00A849AE"/>
    <w:rsid w:val="00AA260E"/>
    <w:rsid w:val="00AA60F1"/>
    <w:rsid w:val="00AB2225"/>
    <w:rsid w:val="00AC0CE8"/>
    <w:rsid w:val="00AE783C"/>
    <w:rsid w:val="00AF120B"/>
    <w:rsid w:val="00AF23C1"/>
    <w:rsid w:val="00B11D75"/>
    <w:rsid w:val="00B14008"/>
    <w:rsid w:val="00B40138"/>
    <w:rsid w:val="00B547BD"/>
    <w:rsid w:val="00B55732"/>
    <w:rsid w:val="00B60FCC"/>
    <w:rsid w:val="00B70B77"/>
    <w:rsid w:val="00B93C1E"/>
    <w:rsid w:val="00BB0141"/>
    <w:rsid w:val="00BF2C23"/>
    <w:rsid w:val="00C50A2F"/>
    <w:rsid w:val="00C50DD2"/>
    <w:rsid w:val="00C549DB"/>
    <w:rsid w:val="00C60593"/>
    <w:rsid w:val="00C75697"/>
    <w:rsid w:val="00CA5182"/>
    <w:rsid w:val="00CC7033"/>
    <w:rsid w:val="00CD3F0A"/>
    <w:rsid w:val="00CD5038"/>
    <w:rsid w:val="00CE5DF5"/>
    <w:rsid w:val="00D169CD"/>
    <w:rsid w:val="00D50F0C"/>
    <w:rsid w:val="00D611AB"/>
    <w:rsid w:val="00D74748"/>
    <w:rsid w:val="00D85689"/>
    <w:rsid w:val="00DA6A1F"/>
    <w:rsid w:val="00DC28BE"/>
    <w:rsid w:val="00DD3DE9"/>
    <w:rsid w:val="00DE59CB"/>
    <w:rsid w:val="00DF234F"/>
    <w:rsid w:val="00E00969"/>
    <w:rsid w:val="00E1264D"/>
    <w:rsid w:val="00E1475B"/>
    <w:rsid w:val="00E46057"/>
    <w:rsid w:val="00E63E1A"/>
    <w:rsid w:val="00E71167"/>
    <w:rsid w:val="00E916C7"/>
    <w:rsid w:val="00EB2539"/>
    <w:rsid w:val="00EB2593"/>
    <w:rsid w:val="00EB53D3"/>
    <w:rsid w:val="00EC4121"/>
    <w:rsid w:val="00EF5955"/>
    <w:rsid w:val="00F0089B"/>
    <w:rsid w:val="00F1469D"/>
    <w:rsid w:val="00FA34F4"/>
    <w:rsid w:val="00FB5ACE"/>
    <w:rsid w:val="00FD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4BBC"/>
  <w15:chartTrackingRefBased/>
  <w15:docId w15:val="{B5EE82D0-3CA5-427E-9DEE-6C8D4B26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1EC"/>
  </w:style>
  <w:style w:type="paragraph" w:styleId="Footer">
    <w:name w:val="footer"/>
    <w:basedOn w:val="Normal"/>
    <w:link w:val="FooterChar"/>
    <w:uiPriority w:val="99"/>
    <w:unhideWhenUsed/>
    <w:rsid w:val="00524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1EC"/>
  </w:style>
  <w:style w:type="paragraph" w:styleId="ListParagraph">
    <w:name w:val="List Paragraph"/>
    <w:basedOn w:val="Normal"/>
    <w:uiPriority w:val="34"/>
    <w:qFormat/>
    <w:rsid w:val="0033505B"/>
    <w:pPr>
      <w:ind w:left="720"/>
      <w:contextualSpacing/>
    </w:pPr>
  </w:style>
  <w:style w:type="paragraph" w:customStyle="1" w:styleId="Pa3">
    <w:name w:val="Pa3"/>
    <w:basedOn w:val="Normal"/>
    <w:next w:val="Normal"/>
    <w:uiPriority w:val="99"/>
    <w:rsid w:val="00142EC9"/>
    <w:pPr>
      <w:autoSpaceDE w:val="0"/>
      <w:autoSpaceDN w:val="0"/>
      <w:adjustRightInd w:val="0"/>
      <w:spacing w:after="0" w:line="361" w:lineRule="atLeast"/>
    </w:pPr>
    <w:rPr>
      <w:rFonts w:ascii="Frutiger LT Std 55 Roman" w:hAnsi="Frutiger LT Std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1560">
      <w:bodyDiv w:val="1"/>
      <w:marLeft w:val="0"/>
      <w:marRight w:val="0"/>
      <w:marTop w:val="0"/>
      <w:marBottom w:val="0"/>
      <w:divBdr>
        <w:top w:val="none" w:sz="0" w:space="0" w:color="auto"/>
        <w:left w:val="none" w:sz="0" w:space="0" w:color="auto"/>
        <w:bottom w:val="none" w:sz="0" w:space="0" w:color="auto"/>
        <w:right w:val="none" w:sz="0" w:space="0" w:color="auto"/>
      </w:divBdr>
    </w:div>
    <w:div w:id="519928304">
      <w:bodyDiv w:val="1"/>
      <w:marLeft w:val="0"/>
      <w:marRight w:val="0"/>
      <w:marTop w:val="0"/>
      <w:marBottom w:val="0"/>
      <w:divBdr>
        <w:top w:val="none" w:sz="0" w:space="0" w:color="auto"/>
        <w:left w:val="none" w:sz="0" w:space="0" w:color="auto"/>
        <w:bottom w:val="none" w:sz="0" w:space="0" w:color="auto"/>
        <w:right w:val="none" w:sz="0" w:space="0" w:color="auto"/>
      </w:divBdr>
    </w:div>
    <w:div w:id="685333011">
      <w:bodyDiv w:val="1"/>
      <w:marLeft w:val="0"/>
      <w:marRight w:val="0"/>
      <w:marTop w:val="0"/>
      <w:marBottom w:val="0"/>
      <w:divBdr>
        <w:top w:val="none" w:sz="0" w:space="0" w:color="auto"/>
        <w:left w:val="none" w:sz="0" w:space="0" w:color="auto"/>
        <w:bottom w:val="none" w:sz="0" w:space="0" w:color="auto"/>
        <w:right w:val="none" w:sz="0" w:space="0" w:color="auto"/>
      </w:divBdr>
    </w:div>
    <w:div w:id="779840932">
      <w:bodyDiv w:val="1"/>
      <w:marLeft w:val="0"/>
      <w:marRight w:val="0"/>
      <w:marTop w:val="0"/>
      <w:marBottom w:val="0"/>
      <w:divBdr>
        <w:top w:val="none" w:sz="0" w:space="0" w:color="auto"/>
        <w:left w:val="none" w:sz="0" w:space="0" w:color="auto"/>
        <w:bottom w:val="none" w:sz="0" w:space="0" w:color="auto"/>
        <w:right w:val="none" w:sz="0" w:space="0" w:color="auto"/>
      </w:divBdr>
    </w:div>
    <w:div w:id="910774526">
      <w:bodyDiv w:val="1"/>
      <w:marLeft w:val="0"/>
      <w:marRight w:val="0"/>
      <w:marTop w:val="0"/>
      <w:marBottom w:val="0"/>
      <w:divBdr>
        <w:top w:val="none" w:sz="0" w:space="0" w:color="auto"/>
        <w:left w:val="none" w:sz="0" w:space="0" w:color="auto"/>
        <w:bottom w:val="none" w:sz="0" w:space="0" w:color="auto"/>
        <w:right w:val="none" w:sz="0" w:space="0" w:color="auto"/>
      </w:divBdr>
    </w:div>
    <w:div w:id="992681678">
      <w:bodyDiv w:val="1"/>
      <w:marLeft w:val="0"/>
      <w:marRight w:val="0"/>
      <w:marTop w:val="0"/>
      <w:marBottom w:val="0"/>
      <w:divBdr>
        <w:top w:val="none" w:sz="0" w:space="0" w:color="auto"/>
        <w:left w:val="none" w:sz="0" w:space="0" w:color="auto"/>
        <w:bottom w:val="none" w:sz="0" w:space="0" w:color="auto"/>
        <w:right w:val="none" w:sz="0" w:space="0" w:color="auto"/>
      </w:divBdr>
    </w:div>
    <w:div w:id="11906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LLR ICB Employed Workforce by % 31.03.2023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'Summary 1'!$B$4</c:f>
              <c:strCache>
                <c:ptCount val="1"/>
                <c:pt idx="0">
                  <c:v>Assignment Count</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49F-4E3C-972C-2F603DAFCBA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49F-4E3C-972C-2F603DAFCBA6}"/>
              </c:ext>
            </c:extLst>
          </c:dPt>
          <c:dLbls>
            <c:dLbl>
              <c:idx val="1"/>
              <c:tx>
                <c:rich>
                  <a:bodyPr/>
                  <a:lstStyle/>
                  <a:p>
                    <a:r>
                      <a:rPr lang="en-US"/>
                      <a:t>30%</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49F-4E3C-972C-2F603DAFCB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'Summary 1'!$A$5:$A$6</c:f>
              <c:strCache>
                <c:ptCount val="2"/>
                <c:pt idx="0">
                  <c:v>Female</c:v>
                </c:pt>
                <c:pt idx="1">
                  <c:v>Male</c:v>
                </c:pt>
              </c:strCache>
            </c:strRef>
          </c:cat>
          <c:val>
            <c:numRef>
              <c:f>'Summary 1'!$B$5:$B$6</c:f>
              <c:numCache>
                <c:formatCode>General</c:formatCode>
                <c:ptCount val="2"/>
                <c:pt idx="0">
                  <c:v>229</c:v>
                </c:pt>
                <c:pt idx="1">
                  <c:v>98</c:v>
                </c:pt>
              </c:numCache>
            </c:numRef>
          </c:val>
          <c:extLst>
            <c:ext xmlns:c16="http://schemas.microsoft.com/office/drawing/2014/chart" uri="{C3380CC4-5D6E-409C-BE32-E72D297353CC}">
              <c16:uniqueId val="{00000004-D49F-4E3C-972C-2F603DAFCBA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LLRICB Employees by Gender per Pay Band 31.03.2023</a:t>
            </a:r>
          </a:p>
        </c:rich>
      </c:tx>
      <c:layout>
        <c:manualLayout>
          <c:xMode val="edge"/>
          <c:yMode val="edge"/>
          <c:x val="0.13923622047244094"/>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 2'!$B$2</c:f>
              <c:strCache>
                <c:ptCount val="1"/>
                <c:pt idx="0">
                  <c:v>Female %</c:v>
                </c:pt>
              </c:strCache>
            </c:strRef>
          </c:tx>
          <c:spPr>
            <a:solidFill>
              <a:schemeClr val="accent1"/>
            </a:solidFill>
            <a:ln>
              <a:noFill/>
            </a:ln>
            <a:effectLst/>
          </c:spPr>
          <c:invertIfNegative val="0"/>
          <c:cat>
            <c:strRef>
              <c:f>'Summary 2'!$A$6:$A$18</c:f>
              <c:strCache>
                <c:ptCount val="13"/>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Medical</c:v>
                </c:pt>
                <c:pt idx="12">
                  <c:v>VSM</c:v>
                </c:pt>
              </c:strCache>
            </c:strRef>
          </c:cat>
          <c:val>
            <c:numRef>
              <c:f>'Summary 2'!$B$6:$B$18</c:f>
              <c:numCache>
                <c:formatCode>0.00%</c:formatCode>
                <c:ptCount val="13"/>
                <c:pt idx="0">
                  <c:v>0.25</c:v>
                </c:pt>
                <c:pt idx="1">
                  <c:v>0.4</c:v>
                </c:pt>
                <c:pt idx="2">
                  <c:v>0.83333333333333337</c:v>
                </c:pt>
                <c:pt idx="3">
                  <c:v>0.68965517241379315</c:v>
                </c:pt>
                <c:pt idx="4">
                  <c:v>0.78431372549019607</c:v>
                </c:pt>
                <c:pt idx="5">
                  <c:v>0.7441860465116279</c:v>
                </c:pt>
                <c:pt idx="6">
                  <c:v>0.76056338028169013</c:v>
                </c:pt>
                <c:pt idx="7">
                  <c:v>0.67647058823529416</c:v>
                </c:pt>
                <c:pt idx="8">
                  <c:v>0.6785714285714286</c:v>
                </c:pt>
                <c:pt idx="9">
                  <c:v>1</c:v>
                </c:pt>
                <c:pt idx="10">
                  <c:v>0.75</c:v>
                </c:pt>
                <c:pt idx="11">
                  <c:v>0.21428571428571427</c:v>
                </c:pt>
                <c:pt idx="12">
                  <c:v>0.46666666666666667</c:v>
                </c:pt>
              </c:numCache>
            </c:numRef>
          </c:val>
          <c:extLst>
            <c:ext xmlns:c16="http://schemas.microsoft.com/office/drawing/2014/chart" uri="{C3380CC4-5D6E-409C-BE32-E72D297353CC}">
              <c16:uniqueId val="{00000000-30C7-4557-B67F-DEE9C99076CA}"/>
            </c:ext>
          </c:extLst>
        </c:ser>
        <c:ser>
          <c:idx val="1"/>
          <c:order val="1"/>
          <c:tx>
            <c:strRef>
              <c:f>'Summary 2'!$D$2</c:f>
              <c:strCache>
                <c:ptCount val="1"/>
                <c:pt idx="0">
                  <c:v>Male %</c:v>
                </c:pt>
              </c:strCache>
            </c:strRef>
          </c:tx>
          <c:spPr>
            <a:solidFill>
              <a:schemeClr val="accent2"/>
            </a:solidFill>
            <a:ln>
              <a:noFill/>
            </a:ln>
            <a:effectLst/>
          </c:spPr>
          <c:invertIfNegative val="0"/>
          <c:cat>
            <c:strRef>
              <c:f>'Summary 2'!$A$6:$A$18</c:f>
              <c:strCache>
                <c:ptCount val="13"/>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Medical</c:v>
                </c:pt>
                <c:pt idx="12">
                  <c:v>VSM</c:v>
                </c:pt>
              </c:strCache>
            </c:strRef>
          </c:cat>
          <c:val>
            <c:numRef>
              <c:f>'Summary 2'!$D$6:$D$18</c:f>
              <c:numCache>
                <c:formatCode>0.00%</c:formatCode>
                <c:ptCount val="13"/>
                <c:pt idx="0">
                  <c:v>0.75</c:v>
                </c:pt>
                <c:pt idx="1">
                  <c:v>0.6</c:v>
                </c:pt>
                <c:pt idx="2">
                  <c:v>0.16666666666666666</c:v>
                </c:pt>
                <c:pt idx="3">
                  <c:v>0.31034482758620691</c:v>
                </c:pt>
                <c:pt idx="4">
                  <c:v>0.21568627450980393</c:v>
                </c:pt>
                <c:pt idx="5">
                  <c:v>0.2558139534883721</c:v>
                </c:pt>
                <c:pt idx="6">
                  <c:v>0.23943661971830985</c:v>
                </c:pt>
                <c:pt idx="7">
                  <c:v>0.3235294117647059</c:v>
                </c:pt>
                <c:pt idx="8">
                  <c:v>0.32142857142857145</c:v>
                </c:pt>
                <c:pt idx="9">
                  <c:v>0</c:v>
                </c:pt>
                <c:pt idx="10">
                  <c:v>0.25</c:v>
                </c:pt>
                <c:pt idx="11">
                  <c:v>0.7857142857142857</c:v>
                </c:pt>
                <c:pt idx="12">
                  <c:v>0.53333333333333333</c:v>
                </c:pt>
              </c:numCache>
            </c:numRef>
          </c:val>
          <c:extLst>
            <c:ext xmlns:c16="http://schemas.microsoft.com/office/drawing/2014/chart" uri="{C3380CC4-5D6E-409C-BE32-E72D297353CC}">
              <c16:uniqueId val="{00000001-30C7-4557-B67F-DEE9C99076CA}"/>
            </c:ext>
          </c:extLst>
        </c:ser>
        <c:dLbls>
          <c:showLegendKey val="0"/>
          <c:showVal val="0"/>
          <c:showCatName val="0"/>
          <c:showSerName val="0"/>
          <c:showPercent val="0"/>
          <c:showBubbleSize val="0"/>
        </c:dLbls>
        <c:gapWidth val="150"/>
        <c:axId val="1236276239"/>
        <c:axId val="1"/>
      </c:barChart>
      <c:lineChart>
        <c:grouping val="standard"/>
        <c:varyColors val="0"/>
        <c:ser>
          <c:idx val="2"/>
          <c:order val="2"/>
          <c:tx>
            <c:strRef>
              <c:f>'Summary 2'!$C$2</c:f>
              <c:strCache>
                <c:ptCount val="1"/>
                <c:pt idx="0">
                  <c:v>Female Mean Salary</c:v>
                </c:pt>
              </c:strCache>
            </c:strRef>
          </c:tx>
          <c:spPr>
            <a:ln w="28575" cap="rnd">
              <a:solidFill>
                <a:schemeClr val="accent3"/>
              </a:solidFill>
              <a:round/>
            </a:ln>
            <a:effectLst/>
          </c:spPr>
          <c:marker>
            <c:symbol val="none"/>
          </c:marker>
          <c:cat>
            <c:strRef>
              <c:f>'Summary 2'!$A$6:$A$18</c:f>
              <c:strCache>
                <c:ptCount val="13"/>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Medical</c:v>
                </c:pt>
                <c:pt idx="12">
                  <c:v>VSM</c:v>
                </c:pt>
              </c:strCache>
            </c:strRef>
          </c:cat>
          <c:val>
            <c:numRef>
              <c:f>'Summary 2'!$C$6:$C$18</c:f>
              <c:numCache>
                <c:formatCode>"£"#,##0.00</c:formatCode>
                <c:ptCount val="13"/>
                <c:pt idx="0">
                  <c:v>10.9021172138693</c:v>
                </c:pt>
                <c:pt idx="1">
                  <c:v>11.482790935822351</c:v>
                </c:pt>
                <c:pt idx="2">
                  <c:v>12.804411373631982</c:v>
                </c:pt>
                <c:pt idx="3">
                  <c:v>14.881023985972067</c:v>
                </c:pt>
                <c:pt idx="4">
                  <c:v>19.121435373836949</c:v>
                </c:pt>
                <c:pt idx="5">
                  <c:v>22.743014768960119</c:v>
                </c:pt>
                <c:pt idx="6">
                  <c:v>26.165827620654749</c:v>
                </c:pt>
                <c:pt idx="7">
                  <c:v>29.531832639867613</c:v>
                </c:pt>
                <c:pt idx="8">
                  <c:v>36.162572471374823</c:v>
                </c:pt>
                <c:pt idx="9">
                  <c:v>42.689668171656493</c:v>
                </c:pt>
                <c:pt idx="10">
                  <c:v>52.5749616446763</c:v>
                </c:pt>
                <c:pt idx="11">
                  <c:v>74.710375911008825</c:v>
                </c:pt>
                <c:pt idx="12">
                  <c:v>59.915489953374049</c:v>
                </c:pt>
              </c:numCache>
            </c:numRef>
          </c:val>
          <c:smooth val="0"/>
          <c:extLst>
            <c:ext xmlns:c16="http://schemas.microsoft.com/office/drawing/2014/chart" uri="{C3380CC4-5D6E-409C-BE32-E72D297353CC}">
              <c16:uniqueId val="{00000002-30C7-4557-B67F-DEE9C99076CA}"/>
            </c:ext>
          </c:extLst>
        </c:ser>
        <c:ser>
          <c:idx val="3"/>
          <c:order val="3"/>
          <c:tx>
            <c:strRef>
              <c:f>'Summary 2'!$E$2</c:f>
              <c:strCache>
                <c:ptCount val="1"/>
                <c:pt idx="0">
                  <c:v>Male Mean Salary</c:v>
                </c:pt>
              </c:strCache>
            </c:strRef>
          </c:tx>
          <c:spPr>
            <a:ln w="28575" cap="rnd">
              <a:solidFill>
                <a:schemeClr val="accent4"/>
              </a:solidFill>
              <a:round/>
            </a:ln>
            <a:effectLst/>
          </c:spPr>
          <c:marker>
            <c:symbol val="none"/>
          </c:marker>
          <c:cat>
            <c:strRef>
              <c:f>'Summary 2'!$A$6:$A$18</c:f>
              <c:strCache>
                <c:ptCount val="13"/>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Medical</c:v>
                </c:pt>
                <c:pt idx="12">
                  <c:v>VSM</c:v>
                </c:pt>
              </c:strCache>
            </c:strRef>
          </c:cat>
          <c:val>
            <c:numRef>
              <c:f>'Summary 2'!$E$6:$E$18</c:f>
              <c:numCache>
                <c:formatCode>"£"#,##0.00</c:formatCode>
                <c:ptCount val="13"/>
                <c:pt idx="0">
                  <c:v>10.902117213869298</c:v>
                </c:pt>
                <c:pt idx="1">
                  <c:v>11.198015751252901</c:v>
                </c:pt>
                <c:pt idx="2">
                  <c:v>12.645330878592601</c:v>
                </c:pt>
                <c:pt idx="3">
                  <c:v>14.411591831168368</c:v>
                </c:pt>
                <c:pt idx="4">
                  <c:v>18.876710647437857</c:v>
                </c:pt>
                <c:pt idx="5">
                  <c:v>22.901988897877185</c:v>
                </c:pt>
                <c:pt idx="6">
                  <c:v>26.634901552204695</c:v>
                </c:pt>
                <c:pt idx="7">
                  <c:v>31.260369884794546</c:v>
                </c:pt>
                <c:pt idx="8">
                  <c:v>36.191681156455623</c:v>
                </c:pt>
                <c:pt idx="10">
                  <c:v>52.5749616446763</c:v>
                </c:pt>
                <c:pt idx="11">
                  <c:v>75.614929971474055</c:v>
                </c:pt>
                <c:pt idx="12">
                  <c:v>58.695065080554578</c:v>
                </c:pt>
              </c:numCache>
            </c:numRef>
          </c:val>
          <c:smooth val="0"/>
          <c:extLst>
            <c:ext xmlns:c16="http://schemas.microsoft.com/office/drawing/2014/chart" uri="{C3380CC4-5D6E-409C-BE32-E72D297353CC}">
              <c16:uniqueId val="{00000003-30C7-4557-B67F-DEE9C99076CA}"/>
            </c:ext>
          </c:extLst>
        </c:ser>
        <c:dLbls>
          <c:showLegendKey val="0"/>
          <c:showVal val="0"/>
          <c:showCatName val="0"/>
          <c:showSerName val="0"/>
          <c:showPercent val="0"/>
          <c:showBubbleSize val="0"/>
        </c:dLbls>
        <c:marker val="1"/>
        <c:smooth val="0"/>
        <c:axId val="3"/>
        <c:axId val="4"/>
      </c:lineChart>
      <c:catAx>
        <c:axId val="123627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276239"/>
        <c:crosses val="autoZero"/>
        <c:crossBetween val="between"/>
        <c:minorUnit val="0.1"/>
      </c:valAx>
      <c:catAx>
        <c:axId val="3"/>
        <c:scaling>
          <c:orientation val="minMax"/>
        </c:scaling>
        <c:delete val="1"/>
        <c:axPos val="b"/>
        <c:numFmt formatCode="General" sourceLinked="1"/>
        <c:majorTickMark val="none"/>
        <c:minorTickMark val="none"/>
        <c:tickLblPos val="nextTo"/>
        <c:crossAx val="4"/>
        <c:crosses val="autoZero"/>
        <c:auto val="1"/>
        <c:lblAlgn val="ctr"/>
        <c:lblOffset val="100"/>
        <c:noMultiLvlLbl val="0"/>
      </c:catAx>
      <c:valAx>
        <c:axId val="4"/>
        <c:scaling>
          <c:orientation val="minMax"/>
        </c:scaling>
        <c:delete val="0"/>
        <c:axPos val="r"/>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Quartile bands 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Female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0</c:formatCode>
                <c:ptCount val="4"/>
                <c:pt idx="0">
                  <c:v>1</c:v>
                </c:pt>
                <c:pt idx="1">
                  <c:v>2</c:v>
                </c:pt>
                <c:pt idx="2">
                  <c:v>3</c:v>
                </c:pt>
                <c:pt idx="3">
                  <c:v>4</c:v>
                </c:pt>
              </c:numCache>
            </c:numRef>
          </c:cat>
          <c:val>
            <c:numRef>
              <c:f>Sheet1!$B$2:$B$5</c:f>
              <c:numCache>
                <c:formatCode>0.00</c:formatCode>
                <c:ptCount val="4"/>
                <c:pt idx="0">
                  <c:v>67.901234567901199</c:v>
                </c:pt>
                <c:pt idx="1">
                  <c:v>77.7777777777778</c:v>
                </c:pt>
                <c:pt idx="2">
                  <c:v>75.280898876404507</c:v>
                </c:pt>
                <c:pt idx="3">
                  <c:v>59.036144578313298</c:v>
                </c:pt>
              </c:numCache>
            </c:numRef>
          </c:val>
          <c:extLst>
            <c:ext xmlns:c16="http://schemas.microsoft.com/office/drawing/2014/chart" uri="{C3380CC4-5D6E-409C-BE32-E72D297353CC}">
              <c16:uniqueId val="{00000000-B356-4EDB-ACFA-51A94BF7D4A4}"/>
            </c:ext>
          </c:extLst>
        </c:ser>
        <c:ser>
          <c:idx val="1"/>
          <c:order val="1"/>
          <c:tx>
            <c:strRef>
              <c:f>Sheet1!$C$1</c:f>
              <c:strCache>
                <c:ptCount val="1"/>
                <c:pt idx="0">
                  <c:v>Male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0</c:formatCode>
                <c:ptCount val="4"/>
                <c:pt idx="0">
                  <c:v>1</c:v>
                </c:pt>
                <c:pt idx="1">
                  <c:v>2</c:v>
                </c:pt>
                <c:pt idx="2">
                  <c:v>3</c:v>
                </c:pt>
                <c:pt idx="3">
                  <c:v>4</c:v>
                </c:pt>
              </c:numCache>
            </c:numRef>
          </c:cat>
          <c:val>
            <c:numRef>
              <c:f>Sheet1!$C$2:$C$5</c:f>
              <c:numCache>
                <c:formatCode>0.00</c:formatCode>
                <c:ptCount val="4"/>
                <c:pt idx="0">
                  <c:v>32.098765432098801</c:v>
                </c:pt>
                <c:pt idx="1">
                  <c:v>22.2222222222222</c:v>
                </c:pt>
                <c:pt idx="2">
                  <c:v>24.7191011235955</c:v>
                </c:pt>
                <c:pt idx="3">
                  <c:v>40.963855421686702</c:v>
                </c:pt>
              </c:numCache>
            </c:numRef>
          </c:val>
          <c:extLst>
            <c:ext xmlns:c16="http://schemas.microsoft.com/office/drawing/2014/chart" uri="{C3380CC4-5D6E-409C-BE32-E72D297353CC}">
              <c16:uniqueId val="{00000001-B356-4EDB-ACFA-51A94BF7D4A4}"/>
            </c:ext>
          </c:extLst>
        </c:ser>
        <c:dLbls>
          <c:showLegendKey val="0"/>
          <c:showVal val="0"/>
          <c:showCatName val="0"/>
          <c:showSerName val="0"/>
          <c:showPercent val="0"/>
          <c:showBubbleSize val="0"/>
        </c:dLbls>
        <c:gapWidth val="219"/>
        <c:overlap val="-27"/>
        <c:axId val="442492176"/>
        <c:axId val="355611968"/>
      </c:barChart>
      <c:catAx>
        <c:axId val="44249217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611968"/>
        <c:crosses val="autoZero"/>
        <c:auto val="1"/>
        <c:lblAlgn val="ctr"/>
        <c:lblOffset val="100"/>
        <c:noMultiLvlLbl val="0"/>
      </c:catAx>
      <c:valAx>
        <c:axId val="355611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9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120D-4B1B-420C-B178-65BFDFD1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 Cropper (MLCSU)</cp:lastModifiedBy>
  <cp:revision>2</cp:revision>
  <dcterms:created xsi:type="dcterms:W3CDTF">2024-02-09T13:32:00Z</dcterms:created>
  <dcterms:modified xsi:type="dcterms:W3CDTF">2024-02-09T13:32:00Z</dcterms:modified>
</cp:coreProperties>
</file>