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0CD55488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6C2E15" w:rsidRPr="000C6701">
        <w:rPr>
          <w:sz w:val="18"/>
          <w:szCs w:val="18"/>
        </w:rPr>
        <w:t>FOI24042025S</w:t>
      </w:r>
    </w:p>
    <w:p w14:paraId="62A3A941" w14:textId="447146ED" w:rsidR="00BE0F2E" w:rsidRDefault="006C2E15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24 April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59D28F50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Dear FOI Team,</w:t>
      </w:r>
    </w:p>
    <w:p w14:paraId="7DD0D7FC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Under the Freedom of Information Act 2000, please provide the following information about your procurement of any</w:t>
      </w:r>
    </w:p>
    <w:p w14:paraId="4FFADC47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(i) external Data Protection Officer (DPO),</w:t>
      </w:r>
    </w:p>
    <w:p w14:paraId="65E161D6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(ii) Data protection GDPR compliance services for the period FY2022-23 to FY2024-25:</w:t>
      </w:r>
    </w:p>
    <w:p w14:paraId="12734AFA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C101270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1.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Current DPO arrangements</w:t>
      </w:r>
    </w:p>
    <w:p w14:paraId="3FA046AD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1.1 Is the organisation’s DPO and other staff that work on data protection</w:t>
      </w:r>
    </w:p>
    <w:p w14:paraId="02C43B96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compliance:</w:t>
      </w:r>
    </w:p>
    <w:p w14:paraId="3D2E89B6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(a) An internal employee</w:t>
      </w:r>
    </w:p>
    <w:p w14:paraId="3D65E901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(b) A DPO provided by an external service provider</w:t>
      </w:r>
    </w:p>
    <w:p w14:paraId="09A8ACB3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(c) Hybrid (internal staff with external service provider support)</w:t>
      </w:r>
    </w:p>
    <w:p w14:paraId="26F600A2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68303C5" w14:textId="77777777" w:rsidR="006C2E15" w:rsidRPr="00A835AA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 xml:space="preserve">Response: </w:t>
      </w:r>
      <w:r w:rsidRPr="00A835AA">
        <w:rPr>
          <w:rFonts w:cs="Arial"/>
          <w:sz w:val="22"/>
          <w:szCs w:val="22"/>
          <w:lang w:eastAsia="en-GB"/>
        </w:rPr>
        <w:t>(a) An internal employee</w:t>
      </w:r>
      <w:r>
        <w:rPr>
          <w:rFonts w:cs="Arial"/>
          <w:sz w:val="22"/>
          <w:szCs w:val="22"/>
          <w:lang w:eastAsia="en-GB"/>
        </w:rPr>
        <w:t>.</w:t>
      </w:r>
    </w:p>
    <w:p w14:paraId="2B3469E5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4CF3B0E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1.2 Where services are provided by external providers, please share the following information:</w:t>
      </w:r>
    </w:p>
    <w:p w14:paraId="6D1938C9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(a) The Company name(s)</w:t>
      </w:r>
    </w:p>
    <w:p w14:paraId="7BA479C4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(b) Annual spend by your organisation (FY2022/2023 through to FY2024/2025)</w:t>
      </w:r>
    </w:p>
    <w:p w14:paraId="6FE0530E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(c) The highest day rate paid</w:t>
      </w:r>
    </w:p>
    <w:p w14:paraId="0BDF2DDC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(d) Contract dates (start/end/renewal terms)</w:t>
      </w:r>
    </w:p>
    <w:p w14:paraId="0BEF0872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(e) A brief description of the project or services provided (for instance, project title or internal reference)</w:t>
      </w:r>
    </w:p>
    <w:p w14:paraId="6C23C7BE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(f) Services covered (e.g., audits, breach management, SAR management, delivery of DPIAs) •</w:t>
      </w:r>
      <w:proofErr w:type="gramStart"/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 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proofErr w:type="gramEnd"/>
      <w:r w:rsidRPr="009E25EC">
        <w:rPr>
          <w:rFonts w:cs="Arial"/>
          <w:i/>
          <w:iCs/>
          <w:sz w:val="22"/>
          <w:szCs w:val="22"/>
          <w:lang w:eastAsia="en-GB"/>
        </w:rPr>
        <w:t>Please indicate what deliverables were produced •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 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Procurement method (e.g., open competition, framework agreement, direct</w:t>
      </w:r>
    </w:p>
    <w:p w14:paraId="33B2A50F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award) and name of the procurement framework, if applicable.</w:t>
      </w:r>
    </w:p>
    <w:p w14:paraId="6772EC9D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EEC3DC5" w14:textId="77777777" w:rsidR="006C2E15" w:rsidRPr="00A835AA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A835AA">
        <w:rPr>
          <w:rFonts w:cs="Arial"/>
          <w:sz w:val="22"/>
          <w:szCs w:val="22"/>
          <w:lang w:eastAsia="en-GB"/>
        </w:rPr>
        <w:t xml:space="preserve">The LLR ICB do not procure Data Protection Officer </w:t>
      </w:r>
      <w:r>
        <w:rPr>
          <w:rFonts w:cs="Arial"/>
          <w:sz w:val="22"/>
          <w:szCs w:val="22"/>
          <w:lang w:eastAsia="en-GB"/>
        </w:rPr>
        <w:t>or</w:t>
      </w:r>
      <w:r w:rsidRPr="00A835AA">
        <w:rPr>
          <w:rFonts w:cs="Arial"/>
          <w:sz w:val="22"/>
          <w:szCs w:val="22"/>
          <w:lang w:eastAsia="en-GB"/>
        </w:rPr>
        <w:t xml:space="preserve"> G</w:t>
      </w:r>
      <w:r>
        <w:rPr>
          <w:rFonts w:cs="Arial"/>
          <w:sz w:val="22"/>
          <w:szCs w:val="22"/>
          <w:lang w:eastAsia="en-GB"/>
        </w:rPr>
        <w:t xml:space="preserve">eneral </w:t>
      </w:r>
      <w:r w:rsidRPr="00A835AA">
        <w:rPr>
          <w:rFonts w:cs="Arial"/>
          <w:sz w:val="22"/>
          <w:szCs w:val="22"/>
          <w:lang w:eastAsia="en-GB"/>
        </w:rPr>
        <w:t>D</w:t>
      </w:r>
      <w:r>
        <w:rPr>
          <w:rFonts w:cs="Arial"/>
          <w:sz w:val="22"/>
          <w:szCs w:val="22"/>
          <w:lang w:eastAsia="en-GB"/>
        </w:rPr>
        <w:t xml:space="preserve">ata </w:t>
      </w:r>
      <w:r w:rsidRPr="00A835AA">
        <w:rPr>
          <w:rFonts w:cs="Arial"/>
          <w:sz w:val="22"/>
          <w:szCs w:val="22"/>
          <w:lang w:eastAsia="en-GB"/>
        </w:rPr>
        <w:t>P</w:t>
      </w:r>
      <w:r>
        <w:rPr>
          <w:rFonts w:cs="Arial"/>
          <w:sz w:val="22"/>
          <w:szCs w:val="22"/>
          <w:lang w:eastAsia="en-GB"/>
        </w:rPr>
        <w:t xml:space="preserve">rotection </w:t>
      </w:r>
      <w:r w:rsidRPr="00A835AA">
        <w:rPr>
          <w:rFonts w:cs="Arial"/>
          <w:sz w:val="22"/>
          <w:szCs w:val="22"/>
          <w:lang w:eastAsia="en-GB"/>
        </w:rPr>
        <w:t>R</w:t>
      </w:r>
      <w:r>
        <w:rPr>
          <w:rFonts w:cs="Arial"/>
          <w:sz w:val="22"/>
          <w:szCs w:val="22"/>
          <w:lang w:eastAsia="en-GB"/>
        </w:rPr>
        <w:t>egulation (GDPR)</w:t>
      </w:r>
      <w:r w:rsidRPr="00A835AA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consultancy </w:t>
      </w:r>
      <w:r w:rsidRPr="00A835AA">
        <w:rPr>
          <w:rFonts w:cs="Arial"/>
          <w:sz w:val="22"/>
          <w:szCs w:val="22"/>
          <w:lang w:eastAsia="en-GB"/>
        </w:rPr>
        <w:t>services from an external supplier.</w:t>
      </w:r>
    </w:p>
    <w:p w14:paraId="080A7647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14682EC1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2.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Consultancy Spend</w:t>
      </w:r>
    </w:p>
    <w:p w14:paraId="7BD654FC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2.1 What is the organisation’s, total annual expenditure on data protection/GDPR consultancy services?</w:t>
      </w:r>
    </w:p>
    <w:p w14:paraId="6887548F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AC3EC75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2.2 For SoW/projects which have a spend of more than £5k), please share the following information:</w:t>
      </w:r>
    </w:p>
    <w:p w14:paraId="39531DAB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•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Supplier company name</w:t>
      </w:r>
    </w:p>
    <w:p w14:paraId="44A608CE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•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The scope of the Project (e.g., &amp;</w:t>
      </w:r>
      <w:proofErr w:type="spellStart"/>
      <w:proofErr w:type="gramStart"/>
      <w:r w:rsidRPr="009E25EC">
        <w:rPr>
          <w:rFonts w:cs="Arial"/>
          <w:i/>
          <w:iCs/>
          <w:sz w:val="22"/>
          <w:szCs w:val="22"/>
          <w:lang w:eastAsia="en-GB"/>
        </w:rPr>
        <w:t>quot;ICO</w:t>
      </w:r>
      <w:proofErr w:type="spellEnd"/>
      <w:proofErr w:type="gramEnd"/>
      <w:r w:rsidRPr="009E25EC">
        <w:rPr>
          <w:rFonts w:cs="Arial"/>
          <w:i/>
          <w:iCs/>
          <w:sz w:val="22"/>
          <w:szCs w:val="22"/>
          <w:lang w:eastAsia="en-GB"/>
        </w:rPr>
        <w:t xml:space="preserve"> investigation </w:t>
      </w:r>
      <w:proofErr w:type="spellStart"/>
      <w:r w:rsidRPr="009E25EC">
        <w:rPr>
          <w:rFonts w:cs="Arial"/>
          <w:i/>
          <w:iCs/>
          <w:sz w:val="22"/>
          <w:szCs w:val="22"/>
          <w:lang w:eastAsia="en-GB"/>
        </w:rPr>
        <w:t>support&amp;quot</w:t>
      </w:r>
      <w:proofErr w:type="spellEnd"/>
      <w:r w:rsidRPr="009E25EC">
        <w:rPr>
          <w:rFonts w:cs="Arial"/>
          <w:i/>
          <w:iCs/>
          <w:sz w:val="22"/>
          <w:szCs w:val="22"/>
          <w:lang w:eastAsia="en-GB"/>
        </w:rPr>
        <w:t>;, DPIA support, Internal Audit recommendation support) •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 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Spend •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 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Procurement method 3.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Data Protection Compliance staffing</w:t>
      </w:r>
    </w:p>
    <w:p w14:paraId="30AC9EF4" w14:textId="77777777" w:rsidR="006C2E15" w:rsidRDefault="006C2E15" w:rsidP="006C2E15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695AC17E" w14:textId="77777777" w:rsidR="006C2E15" w:rsidRPr="00A835AA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A835AA">
        <w:rPr>
          <w:rFonts w:cs="Arial"/>
          <w:sz w:val="22"/>
          <w:szCs w:val="22"/>
          <w:lang w:eastAsia="en-GB"/>
        </w:rPr>
        <w:t xml:space="preserve">The LLR ICB do not procure Data Protection Officer </w:t>
      </w:r>
      <w:r>
        <w:rPr>
          <w:rFonts w:cs="Arial"/>
          <w:sz w:val="22"/>
          <w:szCs w:val="22"/>
          <w:lang w:eastAsia="en-GB"/>
        </w:rPr>
        <w:t>or</w:t>
      </w:r>
      <w:r w:rsidRPr="00A835AA">
        <w:rPr>
          <w:rFonts w:cs="Arial"/>
          <w:sz w:val="22"/>
          <w:szCs w:val="22"/>
          <w:lang w:eastAsia="en-GB"/>
        </w:rPr>
        <w:t xml:space="preserve"> G</w:t>
      </w:r>
      <w:r>
        <w:rPr>
          <w:rFonts w:cs="Arial"/>
          <w:sz w:val="22"/>
          <w:szCs w:val="22"/>
          <w:lang w:eastAsia="en-GB"/>
        </w:rPr>
        <w:t xml:space="preserve">eneral </w:t>
      </w:r>
      <w:r w:rsidRPr="00A835AA">
        <w:rPr>
          <w:rFonts w:cs="Arial"/>
          <w:sz w:val="22"/>
          <w:szCs w:val="22"/>
          <w:lang w:eastAsia="en-GB"/>
        </w:rPr>
        <w:t>D</w:t>
      </w:r>
      <w:r>
        <w:rPr>
          <w:rFonts w:cs="Arial"/>
          <w:sz w:val="22"/>
          <w:szCs w:val="22"/>
          <w:lang w:eastAsia="en-GB"/>
        </w:rPr>
        <w:t xml:space="preserve">ata </w:t>
      </w:r>
      <w:r w:rsidRPr="00A835AA">
        <w:rPr>
          <w:rFonts w:cs="Arial"/>
          <w:sz w:val="22"/>
          <w:szCs w:val="22"/>
          <w:lang w:eastAsia="en-GB"/>
        </w:rPr>
        <w:t>P</w:t>
      </w:r>
      <w:r>
        <w:rPr>
          <w:rFonts w:cs="Arial"/>
          <w:sz w:val="22"/>
          <w:szCs w:val="22"/>
          <w:lang w:eastAsia="en-GB"/>
        </w:rPr>
        <w:t xml:space="preserve">rotection </w:t>
      </w:r>
      <w:r w:rsidRPr="00A835AA">
        <w:rPr>
          <w:rFonts w:cs="Arial"/>
          <w:sz w:val="22"/>
          <w:szCs w:val="22"/>
          <w:lang w:eastAsia="en-GB"/>
        </w:rPr>
        <w:t>R</w:t>
      </w:r>
      <w:r>
        <w:rPr>
          <w:rFonts w:cs="Arial"/>
          <w:sz w:val="22"/>
          <w:szCs w:val="22"/>
          <w:lang w:eastAsia="en-GB"/>
        </w:rPr>
        <w:t>egulation (GDPR)</w:t>
      </w:r>
      <w:r w:rsidRPr="00A835AA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consultancy </w:t>
      </w:r>
      <w:r w:rsidRPr="00A835AA">
        <w:rPr>
          <w:rFonts w:cs="Arial"/>
          <w:sz w:val="22"/>
          <w:szCs w:val="22"/>
          <w:lang w:eastAsia="en-GB"/>
        </w:rPr>
        <w:t>services from an external supplier.</w:t>
      </w:r>
    </w:p>
    <w:p w14:paraId="59BDEA38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5CF5250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3.1 The Number of in-house data protection staff in the organisation?</w:t>
      </w:r>
      <w:r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E25EC">
        <w:rPr>
          <w:rFonts w:cs="Arial"/>
          <w:i/>
          <w:iCs/>
          <w:sz w:val="22"/>
          <w:szCs w:val="22"/>
          <w:lang w:eastAsia="en-GB"/>
        </w:rPr>
        <w:t>(FTE)</w:t>
      </w:r>
      <w:r>
        <w:rPr>
          <w:rFonts w:cs="Arial"/>
          <w:i/>
          <w:iCs/>
          <w:sz w:val="22"/>
          <w:szCs w:val="22"/>
          <w:lang w:eastAsia="en-GB"/>
        </w:rPr>
        <w:t xml:space="preserve"> </w:t>
      </w:r>
    </w:p>
    <w:p w14:paraId="5D95BD73" w14:textId="77777777" w:rsidR="006C2E15" w:rsidRDefault="006C2E15" w:rsidP="006C2E15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5491BE51" w14:textId="77777777" w:rsidR="006C2E15" w:rsidRPr="00A835AA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A835AA">
        <w:rPr>
          <w:rFonts w:cs="Arial"/>
          <w:sz w:val="22"/>
          <w:szCs w:val="22"/>
          <w:lang w:eastAsia="en-GB"/>
        </w:rPr>
        <w:t>The LLR ICB have 3 full time equivalent data protection staff including the LLR ICB Data Protection Officer</w:t>
      </w:r>
      <w:r>
        <w:rPr>
          <w:rFonts w:cs="Arial"/>
          <w:sz w:val="22"/>
          <w:szCs w:val="22"/>
          <w:lang w:eastAsia="en-GB"/>
        </w:rPr>
        <w:t xml:space="preserve"> (DPO)</w:t>
      </w:r>
      <w:r w:rsidRPr="00A835AA">
        <w:rPr>
          <w:rFonts w:cs="Arial"/>
          <w:sz w:val="22"/>
          <w:szCs w:val="22"/>
          <w:lang w:eastAsia="en-GB"/>
        </w:rPr>
        <w:t>.</w:t>
      </w:r>
    </w:p>
    <w:p w14:paraId="763F0596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AC6355D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3.2 Are there any vacant roles? (Yes/No)</w:t>
      </w:r>
    </w:p>
    <w:p w14:paraId="50FA23F3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7420229" w14:textId="77777777" w:rsidR="006C2E15" w:rsidRPr="009E16F7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9E16F7">
        <w:rPr>
          <w:rFonts w:cs="Arial"/>
          <w:sz w:val="22"/>
          <w:szCs w:val="22"/>
          <w:lang w:eastAsia="en-GB"/>
        </w:rPr>
        <w:t>The LLR ICB do not have any vacant roles within the Information Governance Team</w:t>
      </w:r>
      <w:r>
        <w:rPr>
          <w:rFonts w:cs="Arial"/>
          <w:sz w:val="22"/>
          <w:szCs w:val="22"/>
          <w:lang w:eastAsia="en-GB"/>
        </w:rPr>
        <w:t>.</w:t>
      </w:r>
    </w:p>
    <w:p w14:paraId="2A59B36A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E44BF26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3.3 Where there any ICO investigations, audits, or enforcement actions for the period from FY2022/2023 to FY 2024/2025?</w:t>
      </w:r>
    </w:p>
    <w:p w14:paraId="3E66063F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B0A78E0" w14:textId="77777777" w:rsidR="006C2E15" w:rsidRPr="009E16F7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835A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9E16F7">
        <w:rPr>
          <w:rFonts w:cs="Arial"/>
          <w:sz w:val="22"/>
          <w:szCs w:val="22"/>
          <w:lang w:eastAsia="en-GB"/>
        </w:rPr>
        <w:t>During the financial years 2022/2023 and 2024/2025</w:t>
      </w:r>
      <w:r>
        <w:rPr>
          <w:rFonts w:cs="Arial"/>
          <w:sz w:val="22"/>
          <w:szCs w:val="22"/>
          <w:lang w:eastAsia="en-GB"/>
        </w:rPr>
        <w:t>,</w:t>
      </w:r>
      <w:r w:rsidRPr="009E16F7">
        <w:rPr>
          <w:rFonts w:cs="Arial"/>
          <w:sz w:val="22"/>
          <w:szCs w:val="22"/>
          <w:lang w:eastAsia="en-GB"/>
        </w:rPr>
        <w:t xml:space="preserve"> the LLR ICB have not been involved in any ICO investigations, audits, or enforcement actions.</w:t>
      </w:r>
    </w:p>
    <w:p w14:paraId="0BCC08FD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D817CB2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4.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E25EC">
        <w:rPr>
          <w:rFonts w:ascii="Segoe UI Symbol" w:hAnsi="Segoe UI Symbol" w:cs="Segoe UI Symbol"/>
          <w:i/>
          <w:iCs/>
          <w:sz w:val="22"/>
          <w:szCs w:val="22"/>
          <w:lang w:eastAsia="en-GB"/>
        </w:rPr>
        <w:t>⁠</w:t>
      </w:r>
      <w:r w:rsidRPr="009E25EC">
        <w:rPr>
          <w:rFonts w:cs="Arial"/>
          <w:i/>
          <w:iCs/>
          <w:sz w:val="22"/>
          <w:szCs w:val="22"/>
          <w:lang w:eastAsia="en-GB"/>
        </w:rPr>
        <w:t>Future Plans</w:t>
      </w:r>
    </w:p>
    <w:p w14:paraId="5B9987A3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4.1 Is your organisation planning to put out to tender for any DPO/GDPR services in the current financial year?</w:t>
      </w:r>
    </w:p>
    <w:p w14:paraId="2BF5634A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4.2 If yes please provide the following:</w:t>
      </w:r>
    </w:p>
    <w:p w14:paraId="7FEED702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Expected timeline</w:t>
      </w:r>
    </w:p>
    <w:p w14:paraId="08BB72B9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Budget range</w:t>
      </w:r>
    </w:p>
    <w:p w14:paraId="1A2CD496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Key service requirements</w:t>
      </w:r>
    </w:p>
    <w:p w14:paraId="44E44CDE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Procurement method</w:t>
      </w:r>
    </w:p>
    <w:p w14:paraId="0565BA57" w14:textId="77777777" w:rsidR="006C2E15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AAA5F58" w14:textId="77777777" w:rsidR="006C2E15" w:rsidRPr="00A65853" w:rsidRDefault="006C2E15" w:rsidP="006C2E15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9E16F7">
        <w:rPr>
          <w:rFonts w:cs="Arial"/>
          <w:sz w:val="22"/>
          <w:szCs w:val="22"/>
          <w:lang w:eastAsia="en-GB"/>
        </w:rPr>
        <w:t xml:space="preserve">The LLR ICB currently do not have any </w:t>
      </w:r>
      <w:proofErr w:type="gramStart"/>
      <w:r w:rsidRPr="009E16F7">
        <w:rPr>
          <w:rFonts w:cs="Arial"/>
          <w:sz w:val="22"/>
          <w:szCs w:val="22"/>
          <w:lang w:eastAsia="en-GB"/>
        </w:rPr>
        <w:t>future plans</w:t>
      </w:r>
      <w:proofErr w:type="gramEnd"/>
      <w:r w:rsidRPr="009E16F7">
        <w:rPr>
          <w:rFonts w:cs="Arial"/>
          <w:sz w:val="22"/>
          <w:szCs w:val="22"/>
          <w:lang w:eastAsia="en-GB"/>
        </w:rPr>
        <w:t xml:space="preserve"> to tender for Data Protection Officer </w:t>
      </w:r>
      <w:r>
        <w:rPr>
          <w:rFonts w:cs="Arial"/>
          <w:sz w:val="22"/>
          <w:szCs w:val="22"/>
          <w:lang w:eastAsia="en-GB"/>
        </w:rPr>
        <w:t xml:space="preserve">(DPO) </w:t>
      </w:r>
      <w:r w:rsidRPr="009E16F7">
        <w:rPr>
          <w:rFonts w:cs="Arial"/>
          <w:sz w:val="22"/>
          <w:szCs w:val="22"/>
          <w:lang w:eastAsia="en-GB"/>
        </w:rPr>
        <w:t>or GDPR services.</w:t>
      </w:r>
    </w:p>
    <w:p w14:paraId="65186E3C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549E7A2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Fulfilment of this request</w:t>
      </w:r>
    </w:p>
    <w:p w14:paraId="2F482B03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>Format: Prefer CSV/Excel, Word or PDF or any commonly used filetype format.</w:t>
      </w:r>
    </w:p>
    <w:p w14:paraId="7EA6E0FC" w14:textId="77777777" w:rsidR="006C2E15" w:rsidRPr="009E25EC" w:rsidRDefault="006C2E15" w:rsidP="006C2E15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E25EC">
        <w:rPr>
          <w:rFonts w:cs="Arial"/>
          <w:i/>
          <w:iCs/>
          <w:sz w:val="22"/>
          <w:szCs w:val="22"/>
          <w:lang w:eastAsia="en-GB"/>
        </w:rPr>
        <w:t xml:space="preserve">If fulfilling the full request would exceed the appropriate cost limit under Section 12 of the Act, please provide as much of the information as possible within the </w:t>
      </w:r>
      <w:proofErr w:type="gramStart"/>
      <w:r w:rsidRPr="009E25EC">
        <w:rPr>
          <w:rFonts w:cs="Arial"/>
          <w:i/>
          <w:iCs/>
          <w:sz w:val="22"/>
          <w:szCs w:val="22"/>
          <w:lang w:eastAsia="en-GB"/>
        </w:rPr>
        <w:t>limit, and</w:t>
      </w:r>
      <w:proofErr w:type="gramEnd"/>
      <w:r w:rsidRPr="009E25EC">
        <w:rPr>
          <w:rFonts w:cs="Arial"/>
          <w:i/>
          <w:iCs/>
          <w:sz w:val="22"/>
          <w:szCs w:val="22"/>
          <w:lang w:eastAsia="en-GB"/>
        </w:rPr>
        <w:t xml:space="preserve"> advise me under your obligations in Section 16 on how I may refine the request to bring it within scope.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5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144396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A0DCA"/>
    <w:rsid w:val="006C2E15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E54AE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3580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2</cp:revision>
  <cp:lastPrinted>2022-03-27T21:57:00Z</cp:lastPrinted>
  <dcterms:created xsi:type="dcterms:W3CDTF">2025-10-15T16:05:00Z</dcterms:created>
  <dcterms:modified xsi:type="dcterms:W3CDTF">2025-10-15T16:05:00Z</dcterms:modified>
</cp:coreProperties>
</file>